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VermAnlG — Allgemeine Bußgeldvorschriften</w:t>
      </w:r>
    </w:p>
    <w:p>
      <w:r>
        <w:rPr>
          <w:color w:val="555555"/>
          <w:sz w:val="18"/>
        </w:rPr>
        <w:t xml:space="preserve">Vermögensanlagengesetz</w:t>
      </w:r>
    </w:p>
    <w:p>
      <w:r>
        <w:rPr>
          <w:color w:val="555555"/>
          <w:sz w:val="18"/>
        </w:rPr>
        <w:t xml:space="preserve">Stand: 17.08.2021 (konsolidierte Textfassung, kein amtliches Inkrafttretensdatum)</w:t>
      </w:r>
    </w:p>
    <w:p>
      <w:r>
        <w:t xml:space="preserve">(1) Ordnungswidrig handelt, wer vorsätzlich oder leichtfertig</w:t>
      </w:r>
    </w:p>
    <w:p>
      <w:pPr>
        <w:ind w:left="420"/>
      </w:pPr>
      <w:r>
        <w:t xml:space="preserve">1. entgegen § 2a Absatz 5 Satz 1 eine Vermögensanlage öffentlich anbietet,</w:t>
      </w:r>
    </w:p>
    <w:p>
      <w:pPr>
        <w:ind w:left="420"/>
      </w:pPr>
      <w:r>
        <w:t xml:space="preserve">1a. entgegen § 5b eine dort genannte Vermögensanlage anbietet,</w:t>
      </w:r>
    </w:p>
    <w:p>
      <w:pPr>
        <w:ind w:left="420"/>
      </w:pPr>
      <w:r>
        <w:t xml:space="preserve">1b. entgegen § 5c Absatz 1 Satz 1 einen unabhängigen Mittelverwendungskontrolleur nicht, nicht richtig oder nicht rechtzeitig bestellt,</w:t>
      </w:r>
    </w:p>
    <w:p>
      <w:pPr>
        <w:ind w:left="420"/>
      </w:pPr>
      <w:r>
        <w:t xml:space="preserve">1c. entgegen § 5c Absatz 1 Satz 4 einen dort genannten Vertrag nicht oder nicht rechtzeitig vorlegt,</w:t>
      </w:r>
    </w:p>
    <w:p>
      <w:pPr>
        <w:ind w:left="420"/>
      </w:pPr>
      <w:r>
        <w:t xml:space="preserve">1d. entgegen § 5c Absatz 3 einen dort genannten Bericht nicht, nicht richtig, nicht vollständig, nicht in der vorgeschriebenen Weise oder nicht rechtzeitig veröffentlicht,</w:t>
      </w:r>
    </w:p>
    <w:p>
      <w:pPr>
        <w:ind w:left="420"/>
      </w:pPr>
      <w:r>
        <w:t xml:space="preserve">1e. entgegen § 6 in Verbindung mit einer Rechtsverordnung nach § 7 Absatz 3 Satz 1 einen Verkaufsprospekt nicht, nicht richtig oder nicht vollständig veröffentlicht,</w:t>
      </w:r>
    </w:p>
    <w:p>
      <w:pPr>
        <w:ind w:left="420"/>
      </w:pPr>
      <w:r>
        <w:t xml:space="preserve">2. entgegen § 8 Absatz 1 Satz 1 einen Verkaufsprospekt veröffentlicht,</w:t>
      </w:r>
    </w:p>
    <w:p>
      <w:pPr>
        <w:ind w:left="420"/>
      </w:pPr>
      <w:r>
        <w:t xml:space="preserve">3. entgegen § 9 Absatz 1 oder § 11 Absatz 1 Satz 1 einen Verkaufsprospekt, einen neuen Umstand oder eine Unrichtigkeit nicht, nicht richtig, nicht vollständig, nicht in der vorgeschriebenen Weise oder nicht rechtzeitig veröffentlicht,</w:t>
      </w:r>
    </w:p>
    <w:p>
      <w:pPr>
        <w:ind w:left="420"/>
      </w:pPr>
      <w:r>
        <w:t xml:space="preserve">4. entgegen § 9 Absatz 2 Satz 3 oder § 10 Absatz 1 Satz 1 eine Mitteilung nicht, nicht richtig, nicht vollständig, nicht in der vorgeschriebenen Weise oder nicht rechtzeitig macht,</w:t>
      </w:r>
    </w:p>
    <w:p>
      <w:pPr>
        <w:ind w:left="420"/>
      </w:pPr>
      <w:r>
        <w:t xml:space="preserve">4a. entgegen § 11 Absatz 1 Satz 3 einen Nachtrag nicht oder nicht rechtzeitig einreicht,</w:t>
      </w:r>
    </w:p>
    <w:p>
      <w:pPr>
        <w:ind w:left="420"/>
      </w:pPr>
      <w:r>
        <w:t xml:space="preserve">4b. entgegen § 11a Absatz 1 Satz 1 eine Tatsache nicht, nicht richtig, nicht vollständig, nicht in der vorgeschriebenen Weise oder nicht rechtzeitig veröffentlicht,</w:t>
      </w:r>
    </w:p>
    <w:p>
      <w:pPr>
        <w:ind w:left="420"/>
      </w:pPr>
      <w:r>
        <w:t xml:space="preserve">5. entgegen § 12 Absatz 1, 2 oder Absatz 3 nicht dafür sorgt, dass ein Hinweis aufgenommen wird,</w:t>
      </w:r>
    </w:p>
    <w:p>
      <w:pPr>
        <w:ind w:left="420"/>
      </w:pPr>
      <w:r>
        <w:t xml:space="preserve">6. entgegen § 13 Absatz 1 in Verbindung mit einer Rechtsverordnung nach § 13 Absatz 8 Satz 1 ein Vermögensanlagen-Informationsblatt nicht, nicht richtig, nicht vollständig oder nicht rechtzeitig erstellt,</w:t>
      </w:r>
    </w:p>
    <w:p>
      <w:pPr>
        <w:ind w:left="420"/>
      </w:pPr>
      <w:r>
        <w:t xml:space="preserve">7. entgegen § 13 Absatz 7 Satz 1 eine dort gemachte Angabe nicht, nicht richtig, nicht vollständig oder nicht rechtzeitig aktualisiert oder entgegen § 13 Absatz 7 Satz 3 das Datum der Aktualisierung im Vermögensanlagen-Informationsblatt nicht nennt,</w:t>
      </w:r>
    </w:p>
    <w:p>
      <w:pPr>
        <w:ind w:left="420"/>
      </w:pPr>
      <w:r>
        <w:t xml:space="preserve">7a. entgegen § 13a Absatz 1 Satz 1 ein Vermögensanlagen-Informationsblatt nicht, nicht richtig, nicht vollständig, nicht in der vorgeschriebenen Weise oder nicht rechtzeitig veröffentlicht,</w:t>
      </w:r>
    </w:p>
    <w:p>
      <w:pPr>
        <w:ind w:left="420"/>
      </w:pPr>
      <w:r>
        <w:t xml:space="preserve">7b. entgegen § 13a Absatz 1 Satz 2 die aktuelle Fassung des Vermögensanlagen-Informationsblatts nicht oder nicht für die vorgeschriebene Dauer zugänglich macht oder nicht oder nicht für die vorgeschriebene Dauer bereithält,</w:t>
      </w:r>
    </w:p>
    <w:p>
      <w:pPr>
        <w:ind w:left="420"/>
      </w:pPr>
      <w:r>
        <w:t xml:space="preserve">7c. entgegen § 13a Absatz 2 das Vermögensanlagen-Informationsblatt nicht oder nicht in der vorgeschriebenen Weise zugänglich macht,</w:t>
      </w:r>
    </w:p>
    <w:p>
      <w:pPr>
        <w:ind w:left="420"/>
      </w:pPr>
      <w:r>
        <w:t xml:space="preserve">8. entgegen § 14 Absatz 1 Satz 1 oder § 14 Absatz 3 einen Verkaufsprospekt, einen Nachtrag oder eine aktualisierte Fassung des Vermögensanlagen-Informationsblatts nicht oder nicht rechtzeitig übermittelt,</w:t>
      </w:r>
    </w:p>
    <w:p>
      <w:pPr>
        <w:ind w:left="420"/>
      </w:pPr>
      <w:r>
        <w:t xml:space="preserve">9. entgegen § 14 Absatz 1 Satz 2 ein Vermögensanlagen-Informationsblatt nicht oder nicht rechtzeitig hinterlegt oder</w:t>
      </w:r>
    </w:p>
    <w:p>
      <w:pPr>
        <w:ind w:left="420"/>
      </w:pPr>
      <w:r>
        <w:t xml:space="preserve">10. einer vollziehbaren Anordnung nach § 17 Absatz 1 Satz 1 oder § 18 Absatz 1 oder Absatz 2 zuwiderhandelt.</w:t>
      </w:r>
    </w:p>
    <w:p>
      <w:r>
        <w:t xml:space="preserve">(2) Ordnungswidrig handelt, wer vorsätzlich oder fahrlässig</w:t>
      </w:r>
    </w:p>
    <w:p>
      <w:pPr>
        <w:ind w:left="420"/>
      </w:pPr>
      <w:r>
        <w:t xml:space="preserve">1. einer vollziehbaren Anordnung nach § 16 Absatz 1 zuwiderhandelt oder</w:t>
      </w:r>
    </w:p>
    <w:p>
      <w:pPr>
        <w:ind w:left="420"/>
      </w:pPr>
      <w:r>
        <w:t xml:space="preserve">2. entgegen § 19 Absatz 1 eine Auskunft nicht, nicht richtig, nicht vollständig oder nicht rechtzeitig erteilt oder eine Unterlage nicht, nicht richtig, nicht vollständig oder nicht rechtzeitig vorlegt.</w:t>
      </w:r>
    </w:p>
    <w:p>
      <w:r>
        <w:t xml:space="preserve">(3) Die Ordnungswidrigkeit kann in den Fällen des Absatzes 1 Nummer 1a bis 1e, 2, 6 und 10 mit einer Geldbuße bis zu fünfhunderttausend Euro, in den Fällen des Absatzes 1 Nummer 1, 3, 4a, 4b, 5, 7a, 7b und 7c mit einer Geldbuße bis zu hunderttausend Euro und in den übrigen Fällen mit einer Geldbuße bis zu fünfzigtausend Euro geahndet werden.</w:t>
      </w:r>
    </w:p>
    <w:p>
      <w:r>
        <w:t xml:space="preserve">(4) Verwaltungsbehörde im Sinne des § 36 Absatz 1 Nummer 1 des Gesetzes über Ordnungswidrigkeiten ist die Bundesanstalt.</w:t>
      </w:r>
    </w:p>
    <w:p>
      <w:r>
        <w:rPr>
          <w:color w:val="555555"/>
          <w:sz w:val="17"/>
        </w:rPr>
        <w:t xml:space="preserve">Zitiervorschlag: § 29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