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VermAnlG — Strafvorschriften</w:t>
      </w:r>
    </w:p>
    <w:p>
      <w:r>
        <w:rPr>
          <w:color w:val="555555"/>
          <w:sz w:val="18"/>
        </w:rPr>
        <w:t xml:space="preserve">Vermögensanlagengesetz</w:t>
      </w:r>
    </w:p>
    <w:p>
      <w:r>
        <w:rPr>
          <w:color w:val="555555"/>
          <w:sz w:val="18"/>
        </w:rPr>
        <w:t xml:space="preserve">Stand: 17.08.2021 (konsolidierte Textfassung, kein amtliches Inkrafttretensdatum)</w:t>
      </w:r>
    </w:p>
    <w:p>
      <w:r>
        <w:t xml:space="preserve">(1) Mit Freiheitsstrafe bis zu fünf Jahren oder mit Geldstrafe wird bestraft, wer</w:t>
      </w:r>
    </w:p>
    <w:p>
      <w:pPr>
        <w:ind w:left="420"/>
      </w:pPr>
      <w:r>
        <w:t xml:space="preserve">1. entgegen § 24 Absatz 1 Satz 1 in Verbindung mit § 264 Absatz 2 Satz 3 des Handelsgesetzbuchs oder</w:t>
      </w:r>
    </w:p>
    <w:p>
      <w:pPr>
        <w:ind w:left="420"/>
      </w:pPr>
      <w:r>
        <w:t xml:space="preserve">2. entgegen § 24 Absatz 1 Satz 1 in Verbindung mit § 289 Absatz 1 Satz 5 des Handelsgesetzbuchs</w:t>
      </w:r>
    </w:p>
    <w:p>
      <w:r>
        <w:t xml:space="preserve">eine Versicherung nicht richtig abgibt.</w:t>
      </w:r>
    </w:p>
    <w:p>
      <w:r>
        <w:t xml:space="preserve">(2) Handelt der Täter leichtfertig, so ist die Strafe Freiheitsstrafe bis zu zwei Jahren oder Geldstrafe.</w:t>
      </w:r>
    </w:p>
    <w:p>
      <w:r>
        <w:rPr>
          <w:color w:val="555555"/>
          <w:sz w:val="17"/>
        </w:rPr>
        <w:t xml:space="preserve">Zitiervorschlag: § 28 VermAnlG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https://recht.nulegal.eu/gesetze/VermAnlG/28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