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VermAnlG — Bekanntmachung von Maßnahmen</w:t>
      </w:r>
    </w:p>
    <w:p>
      <w:r>
        <w:rPr>
          <w:color w:val="555555"/>
          <w:sz w:val="18"/>
        </w:rPr>
        <w:t xml:space="preserve">Vermögensanlagengesetz</w:t>
      </w:r>
    </w:p>
    <w:p>
      <w:r>
        <w:rPr>
          <w:color w:val="555555"/>
          <w:sz w:val="18"/>
        </w:rPr>
        <w:t xml:space="preserve">Stand: 10.06.2019 (konsolidierte Textfassung, kein amtliches Inkrafttretensdatum)</w:t>
      </w:r>
    </w:p>
    <w:p>
      <w:r>
        <w:t xml:space="preserve">(1) Die Bundesanstalt macht sofort vollziehbare Maßnahmen, die sie nach den §§ 15a bis 19 getroffen hat, auf ihrer Internetseite öffentlich bekannt, soweit dies bei Abwägung der betroffenen Interessen zur Beseitigung oder Verhinderung von Missständen geboten ist. Bei nicht bestandskräftigen Maßnahmen ist folgender Hinweis hinzuzufügen: „Diese Maßnahme ist noch nicht bestandskräftig.“ Wurde gegen die Maßnahme ein Rechtsmittel eingelegt, sind der Stand und der Ausgang des Rechtsmittelverfahrens bekannt zu machen.</w:t>
      </w:r>
    </w:p>
    <w:p>
      <w:r>
        <w:t xml:space="preserve">(2) Liegen der Bundesanstalt Anhaltspunkte dafür vor, dass</w:t>
      </w:r>
    </w:p>
    <w:p>
      <w:pPr>
        <w:ind w:left="420"/>
      </w:pPr>
      <w:r>
        <w:t xml:space="preserve">1. ein Anbieter Vermögensanlagen öffentlich anbietet, obwohl</w:t>
      </w:r>
    </w:p>
    <w:p>
      <w:pPr>
        <w:ind w:left="780"/>
      </w:pPr>
      <w:r>
        <w:t xml:space="preserve">a) diese entgegen § 5b eine Nachschusspflicht vorsehen,</w:t>
      </w:r>
    </w:p>
    <w:p>
      <w:pPr>
        <w:ind w:left="780"/>
      </w:pPr>
      <w:r>
        <w:t xml:space="preserve">b) entgegen § 6 kein Verkaufsprospekt veröffentlicht wurde oder</w:t>
      </w:r>
    </w:p>
    <w:p>
      <w:pPr>
        <w:ind w:left="780"/>
      </w:pPr>
      <w:r>
        <w:t xml:space="preserve">c) der Verkaufsprospekt nach § 8a nicht mehr gültig ist oder</w:t>
      </w:r>
    </w:p>
    <w:p>
      <w:pPr>
        <w:ind w:left="420"/>
      </w:pPr>
      <w:r>
        <w:t xml:space="preserve">2. entgegen § 8 ein Verkaufsprospekt vor dessen Billigung veröffentlicht wurde,</w:t>
      </w:r>
    </w:p>
    <w:p>
      <w:r>
        <w:t xml:space="preserve">so kann die Bundesanstalt diesen Umstand auf ihrer Internetseite öffentlich bekannt machen.</w:t>
      </w:r>
    </w:p>
    <w:p>
      <w:r>
        <w:t xml:space="preserve">(3) Die Bundesanstalt sieht von einer Bekanntmachung nach Absatz 1 oder Absatz 2 ab, wenn die Bekanntmachung die Finanzmärkte der Bundesrepublik Deutschland oder eines oder mehrerer Staaten des Europäischen Wirtschaftsraums erheblich gefährden würde. Die Bundesanstalt kann von einer Bekanntmachung außerdem absehen, wenn eine Bekanntmachung nachteilige Auswirkungen auf die Durchführung strafrechtlicher, ordnungswidrigkeitenrechtlicher oder disziplinarischer Ermittlungen haben kann.</w:t>
      </w:r>
    </w:p>
    <w:p>
      <w:r>
        <w:t xml:space="preserve">(4) Die Bekanntmachung nach den Absätzen 1 und 2 darf nur diejenigen personenbezogenen Daten enthalten, die zur Identifizierung des Anbieters oder Emittenten erforderlich sind. Die Bekanntmachung ist spätestens nach fünf Jahren zu löschen.</w:t>
      </w:r>
    </w:p>
    <w:p>
      <w:r>
        <w:rPr>
          <w:color w:val="555555"/>
          <w:sz w:val="17"/>
        </w:rPr>
        <w:t xml:space="preserve">Zitiervorschlag: § 26b VermAnlG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