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26a VermAnlG — Sofortiger Vollzug</w:t>
      </w:r>
    </w:p>
    <w:p>
      <w:r>
        <w:rPr>
          <w:color w:val="555555"/>
          <w:sz w:val="18"/>
        </w:rPr>
        <w:t xml:space="preserve">Vermögensanlagengesetz</w:t>
      </w:r>
    </w:p>
    <w:p>
      <w:r>
        <w:rPr>
          <w:color w:val="555555"/>
          <w:sz w:val="18"/>
        </w:rPr>
        <w:t xml:space="preserve">Stand: 17.08.2021 (konsolidierte Textfassung, kein amtliches Inkrafttretensdatum)</w:t>
      </w:r>
    </w:p>
    <w:p>
      <w:r>
        <w:t xml:space="preserve">Keine aufschiebende Wirkung haben</w:t>
      </w:r>
    </w:p>
    <w:p>
      <w:pPr>
        <w:ind w:left="420"/>
      </w:pPr>
      <w:r>
        <w:t xml:space="preserve">1. Widerspruch und Anfechtungsklage gegen Maßnahmen der Bundesanstalt nach den §§ 15a bis 19 und § 24 Absatz 5 bis 7 sowie</w:t>
      </w:r>
    </w:p>
    <w:p>
      <w:pPr>
        <w:ind w:left="420"/>
      </w:pPr>
      <w:r>
        <w:t xml:space="preserve">2. Widerspruch und Anfechtungsklage gegen die Androhung oder Festsetzung von Zwangsmitteln.</w:t>
      </w:r>
    </w:p>
    <w:p>
      <w:r>
        <w:rPr>
          <w:color w:val="555555"/>
          <w:sz w:val="17"/>
        </w:rPr>
        <w:t xml:space="preserve">Zitiervorschlag: § 26a VermAnlG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https://recht.nulegal.eu/gesetze/VermAnlG/26a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