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VermAnlG — Prüfung und Bestätigung des Abschlussprüfers</w:t>
      </w:r>
    </w:p>
    <w:p>
      <w:r>
        <w:rPr>
          <w:color w:val="555555"/>
          <w:sz w:val="18"/>
        </w:rPr>
        <w:t xml:space="preserve">Vermögensanlagengesetz</w:t>
      </w:r>
    </w:p>
    <w:p>
      <w:r>
        <w:rPr>
          <w:color w:val="555555"/>
          <w:sz w:val="18"/>
        </w:rPr>
        <w:t xml:space="preserve">Stand: 10.06.2019 (konsolidierte Textfassung, kein amtliches Inkrafttretensdatum)</w:t>
      </w:r>
    </w:p>
    <w:p>
      <w:r>
        <w:t xml:space="preserve">(1) Der Jahresabschluss und der Lagebericht des inländischen Emittenten von Vermögensanlagen und des Emittenten von Vermögensanlagen mit Sitz außerhalb der Mitgliedstaaten der Europäischen Union und der anderen Vertragsstaaten des Abkommens über den Europäischen Wirtschaftsraum sind durch einen Abschlussprüfer nach Maßgabe der Bestimmungen des Dritten Unterabschnitts des Zweiten Abschnitts des Dritten Buches des Handelsgesetzbuchs zu prüfen. Der Jahresabschluss und der Lagebericht müssen mit dem Bestätigungsvermerk oder einem Vermerk über die Versagung der Bestätigung versehen sein. Der Jahresabschluss und der Lagebericht von Emittenten von Vermögensanlagen mit Sitz in einem anderen Mitgliedstaat der Europäischen Union oder in einem anderen Vertragsstaat des Abkommens über den Europäischen Wirtschaftsraum sind durch einen Abschlussprüfer nach den gleichwertigen dort jeweils für Kapitalgesellschaften geltenden Prüfungsvorschriften zu prüfen.</w:t>
      </w:r>
    </w:p>
    <w:p>
      <w:r>
        <w:t xml:space="preserve">(2) Der Abschlussprüfer hat bei seiner Prüfung auch festzustellen, ob der Emittent der Vermögensanlagen die Bestimmungen eines den Vermögensanlagen zugrunde liegenden Gesellschaftsvertrags oder eines Treuhandverhältnisses beachtet hat.</w:t>
      </w:r>
    </w:p>
    <w:p>
      <w:r>
        <w:t xml:space="preserve">(3) Bei Vermögensanlagen im Sinne des § 1 Absatz 2 Nummer 1 und 2 ist die Zuweisung von Gewinnen, Verlusten, Einnahmen und Entnahmen zu den einzelnen Kapitalkonten vom Abschlussprüfer zu prüfen und deren Ordnungsmäßigkeit zu bestätigen. Dies gilt auch für den Fall, dass die Vermögensanlage für den Anleger durch einen Treuhänder gehalten wird.</w:t>
      </w:r>
    </w:p>
    <w:p>
      <w:r>
        <w:t xml:space="preserve">(4) Hat der Emittent der Vermögensanlagen seinen Sitz in einem anderen Mitgliedstaat der Europäischen Union oder einem anderen Vertragsstaat des Abkommens über den Europäischen Wirtschaftsraum, hat dieser dem Jahresbericht eine zusätzliche Bestätigung des Abschlussprüfers in deutscher Sprache beizufügen (§ 23 Absatz 2 Nummer 4), wonach</w:t>
      </w:r>
    </w:p>
    <w:p>
      <w:pPr>
        <w:ind w:left="420"/>
      </w:pPr>
      <w:r>
        <w:t xml:space="preserve">1. es sich bei den Unterlagen nach § 23 Absatz 2 Nummer 1 und 2 um einen für Kapitalgesellschaften geltenden, nach dem nationalen Recht des Sitzstaates aufgestellten und von einem Abschlussprüfer geprüften Jahresabschluss und Lagebericht handelt,</w:t>
      </w:r>
    </w:p>
    <w:p>
      <w:pPr>
        <w:ind w:left="420"/>
      </w:pPr>
      <w:r>
        <w:t xml:space="preserve">2. die Anforderungen des § 24 Absatz 3 Satz 3 in Verbindung mit Absatz 1 Satz 3 oder die Anforderungen des § 24 Absatz 3 Satz 4 erfüllt sind und</w:t>
      </w:r>
    </w:p>
    <w:p>
      <w:pPr>
        <w:ind w:left="420"/>
      </w:pPr>
      <w:r>
        <w:t xml:space="preserve">3. die Unterlagen gemäß § 23 Absatz 2 insgesamt vollständig sind.</w:t>
      </w:r>
    </w:p>
    <w:p>
      <w:r>
        <w:rPr>
          <w:color w:val="555555"/>
          <w:sz w:val="17"/>
        </w:rPr>
        <w:t xml:space="preserve">Zitiervorschlag: § 25 VermAnlG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https://recht.nulegal.eu/gesetze/VermAnlG/25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