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 VermAnlG — Ausnahmen für einzelne Arten von Vermögensanlagen</w:t>
      </w:r>
    </w:p>
    <w:p>
      <w:r>
        <w:rPr>
          <w:color w:val="555555"/>
          <w:sz w:val="18"/>
        </w:rPr>
        <w:t xml:space="preserve">Vermögensanlagengesetz</w:t>
      </w:r>
    </w:p>
    <w:p>
      <w:r>
        <w:rPr>
          <w:color w:val="555555"/>
          <w:sz w:val="18"/>
        </w:rPr>
        <w:t xml:space="preserve">Stand: 26.06.2021 (konsolidierte Textfassung, kein amtliches Inkrafttretensdatum)</w:t>
      </w:r>
    </w:p>
    <w:p>
      <w:r>
        <w:t xml:space="preserve">(1) Die §§ 5a bis 26 mit Ausnahme von § 18 Absatz 2 und 3 sowie § 19 Absatz 1 Nummer 3 und 4 dieses Gesetzes sind nicht anzuwenden auf</w:t>
      </w:r>
    </w:p>
    <w:p>
      <w:pPr>
        <w:ind w:left="420"/>
      </w:pPr>
      <w:r>
        <w:t xml:space="preserve">1. Anteile an einer Genossenschaft im Sinne des § 1 des Genossenschaftsgesetzes, wenn für den Vertrieb der Anteile keine erfolgsabhängige Vergütung gezahlt wird,</w:t>
      </w:r>
    </w:p>
    <w:p>
      <w:pPr>
        <w:ind w:left="420"/>
      </w:pPr>
      <w:r>
        <w:t xml:space="preserve">1a. Vermögensanlagen im Sinne von § 1 Absatz 2 Nummer 3, 4 und 7, deren Emittent eine Genossenschaft im Sinne des § 1 des Genossenschaftsgesetzes ist und die ausschließlich den Mitgliedern der Genossenschaft angeboten werden, wenn für den Vertrieb der Vermögensanlagen keine erfolgsabhängige Vergütung gezahlt wird,</w:t>
      </w:r>
    </w:p>
    <w:p>
      <w:pPr>
        <w:ind w:left="420"/>
      </w:pPr>
      <w:r>
        <w:t xml:space="preserve">2. Vermögensanlagen, die von Versicherungsunternehmen oder Pensionsfonds im Sinne der §§ 1 und 236 des Versicherungsaufsichtsgesetzes emittiert werden,</w:t>
      </w:r>
    </w:p>
    <w:p>
      <w:pPr>
        <w:ind w:left="420"/>
      </w:pPr>
      <w:r>
        <w:t xml:space="preserve">3. Angebote, bei denen</w:t>
      </w:r>
    </w:p>
    <w:p>
      <w:pPr>
        <w:ind w:left="780"/>
      </w:pPr>
      <w:r>
        <w:t xml:space="preserve">a) von derselben Vermögensanlage im Sinne von § 1 Absatz 2 nicht mehr als 20 Anteile angeboten werden,</w:t>
      </w:r>
    </w:p>
    <w:p>
      <w:pPr>
        <w:ind w:left="780"/>
      </w:pPr>
      <w:r>
        <w:t xml:space="preserve">b) der Verkaufspreis der im Zeitraum von zwölf Monaten angebotenen Anteile einer Vermögensanlage im Sinne von § 1 Absatz 2 insgesamt 100 000 Euro nicht übersteigt oder</w:t>
      </w:r>
    </w:p>
    <w:p>
      <w:pPr>
        <w:ind w:left="780"/>
      </w:pPr>
      <w:r>
        <w:t xml:space="preserve">c) der Preis jedes angebotenen Anteils einer Vermögensanlage im Sinne von § 1 Absatz 2 mindestens 200 000 Euro je Anleger beträgt,</w:t>
      </w:r>
    </w:p>
    <w:p>
      <w:pPr>
        <w:ind w:left="420"/>
      </w:pPr>
      <w:r>
        <w:t xml:space="preserve">4. Angebote, die sich nur an Personen richten, die beruflich oder gewerblich für eigene oder fremde Rechnung Wertpapiere oder Vermögensanlagen erwerben oder veräußern,</w:t>
      </w:r>
    </w:p>
    <w:p>
      <w:pPr>
        <w:ind w:left="420"/>
      </w:pPr>
      <w:r>
        <w:t xml:space="preserve">5. Vermögensanlagen, die Teil eines Angebots sind, für das bereits im Inland ein gültiger Verkaufsprospekt veröffentlicht worden ist,</w:t>
      </w:r>
    </w:p>
    <w:p>
      <w:pPr>
        <w:ind w:left="420"/>
      </w:pPr>
      <w:r>
        <w:t xml:space="preserve">6. Vermögensanlagen, die einem begrenzten Personenkreis oder nur den Arbeitnehmern von ihrem Arbeitgeber oder von einem mit dessen Unternehmen verbundenen Unternehmen angeboten werden,</w:t>
      </w:r>
    </w:p>
    <w:p>
      <w:pPr>
        <w:ind w:left="420"/>
      </w:pPr>
      <w:r>
        <w:t xml:space="preserve">7. Vermögensanlagen, die ausgegeben werden</w:t>
      </w:r>
    </w:p>
    <w:p>
      <w:pPr>
        <w:ind w:left="780"/>
      </w:pPr>
      <w:r>
        <w:t xml:space="preserve">a) von einem Mitgliedstaat der Europäischen Union, einem anderen Vertragsstaat des Abkommens über den Europäischen Wirtschaftsraum, einem Vollmitgliedstaat der Organisation für wirtschaftliche Zusammenarbeit und Entwicklung, sofern dieser nicht innerhalb der letzten fünf Jahre seine Auslandsschulden umgeschuldet oder vor vergleichbaren Zahlungsschwierigkeiten gestanden hat, oder einem Staat, der mit dem Internationalen Währungsfonds besondere Kreditabkommen im Zusammenhang mit dessen Allgemeinen Kreditvereinbarungen getroffen hat,</w:t>
      </w:r>
    </w:p>
    <w:p>
      <w:pPr>
        <w:ind w:left="780"/>
      </w:pPr>
      <w:r>
        <w:t xml:space="preserve">b) von einer Gebietskörperschaft der in Buchstabe a genannten Staaten,</w:t>
      </w:r>
    </w:p>
    <w:p>
      <w:pPr>
        <w:ind w:left="780"/>
      </w:pPr>
      <w:r>
        <w:t xml:space="preserve">c) von einer internationalen Organisation des öffentlichen Rechts, der mindestens ein Mitgliedstaat der Europäischen Union oder ein anderer Vertragsstaat des Abkommens über den Europäischen Wirtschaftsraum angehört,</w:t>
      </w:r>
    </w:p>
    <w:p>
      <w:pPr>
        <w:ind w:left="780"/>
      </w:pPr>
      <w:r>
        <w:t xml:space="preserve">d) von einem Kreditinstitut im Sinne des § 1 Absatz 1 des Kreditwesengesetzes, von einem Finanzdienstleistungsinstitut, das Finanzdienstleistungen im Sinne des § 1 Absatz 1a Satz 2 Nummer 1 bis 4 des Kreditwesengesetzes erbringt, von einem Wertpapierinstitut, das Wertpapierdienstleistungen im Sinne des § 2 Absatz 2 Nummer 3 bis 10 erbringt, von der Kreditanstalt für Wiederaufbau oder von einem nach § 53b Absatz 1 Satz 1 oder Absatz 7 des Kreditwesengesetzes tätigen Unternehmen, das regelmäßig seinen Jahresabschluss offenlegt, sofern die Ausgabe außer im Falle der Ausgabe von Namensschuldverschreibungen dauerhaft oder wiederholt erfolgt; eine wiederholte Ausgabe liegt vor, wenn in den zwölf Kalendermonaten vor dem öffentlichen Angebot mindestens eine Emission innerhalb der Europäischen Union oder innerhalb eines anderen Vertragsstaates des Abkommens über den Europäischen Wirtschaftsraum ausgegeben worden ist, oder</w:t>
      </w:r>
    </w:p>
    <w:p>
      <w:pPr>
        <w:ind w:left="780"/>
      </w:pPr>
      <w:r>
        <w:t xml:space="preserve">e) von einer Gesellschaft oder juristischen Person mit Sitz in einem Mitgliedstaat der Europäischen Union oder in einem anderen Vertragsstaat des Abkommens über den Europäischen Wirtschaftsraum, die ihre Tätigkeit unter einem Staatsmonopol ausübt und die durch ein besonderes Gesetz oder auf Grund eines besonderen Gesetzes geschaffen worden ist oder geregelt wird oder für deren Vermögensanlagen ein Mitgliedstaat der Europäischen Union oder eines seiner Bundesländer oder ein anderer Vertragsstaat des Abkommens über den Europäischen Wirtschaftsraum oder eines seiner Bundesländer die unbedingte und unwiderrufliche Gewährleistung für ihre Verzinsung und Rückzahlung übernommen hat,</w:t>
      </w:r>
    </w:p>
    <w:p>
      <w:pPr>
        <w:ind w:left="420"/>
      </w:pPr>
      <w:r>
        <w:t xml:space="preserve">8. Vermögensanlagen, die bei einer Umwandlung von Unternehmen nach den Vorschriften des Umwandlungsgesetzes angeboten werden oder die als Gegenleistung im Rahmen eines Angebots nach dem Wertpapiererwerbs- und Übernahmegesetz angeboten werden, und</w:t>
      </w:r>
    </w:p>
    <w:p>
      <w:pPr>
        <w:ind w:left="420"/>
      </w:pPr>
      <w:r>
        <w:t xml:space="preserve">9. Vermögensanlagen, die vor dem 1. Juli 2005 erstmals veräußert worden sind und nach dem 1. Juli 2005 öffentlich auf einem Markt angeboten werden, der regelmäßig stattfindet, geregelte Funktions- und Zugangsbedingungen hat, für das Publikum unmittelbar oder mittelbar zugänglich ist und unter der Verantwortung seines Betreibers steht.</w:t>
      </w:r>
    </w:p>
    <w:p>
      <w:r>
        <w:t xml:space="preserve">(2) In den Angeboten nach Absatz 1 Nummer 1a und 3 ist darauf hinzuweisen, dass eine Prospektpflicht nicht besteht. Bei Angeboten nach Absatz 1 Nummer 1a hat der Vorstand der Genossenschaft dafür zu sorgen, dass den Mitgliedern der Genossenschaft vor Vertragsschluss die wesentlichen Informationen über die Vermögensanlage zur Verfügung gestellt werden.</w:t>
      </w:r>
    </w:p>
    <w:p>
      <w:r>
        <w:rPr>
          <w:color w:val="555555"/>
          <w:sz w:val="17"/>
        </w:rPr>
        <w:t xml:space="preserve">Zitiervorschlag: § 2 VermAnlG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https://recht.nulegal.eu/gesetze/VermAnlG/2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