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VermAnlG — Untersagung des öffentlichen Angebots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(1) Die Bundesanstalt untersagt das öffentliche Angebot von Vermögensanlagen, wenn sie Anhaltspunkte dafür hat, dass</w:t>
      </w:r>
    </w:p>
    <w:p>
      <w:pPr>
        <w:ind w:left="420"/>
      </w:pPr>
      <w:r>
        <w:t xml:space="preserve">1. die Vermögensanlagen entgegen § 5a Satz 1 eine kürzere Laufzeit als 24 Monate oder eine kürzere Kündigungsfrist als sechs Monate vorsehen, die Vermögensanlagen entgegen § 5b Absatz 1 bis 3 oder ohne gemäß § 5c erforderlichen Mittelverwendungskontrolleur angeboten werden oder sich aus dem Bericht über das Ergebnis der Mittelverwendungskontrolle gemäß § 5c Absatz 2 Satz 7 ergibt, dass die Verwendung der Anlegergelder nicht planmäßig erfolgte,</w:t>
      </w:r>
    </w:p>
    <w:p>
      <w:pPr>
        <w:ind w:left="420"/>
      </w:pPr>
      <w:r>
        <w:t xml:space="preserve">1a. die Vermögensanlagen entgegen § 2a Absatz 5 von einem Emittenten ausgegeben werden, wenn maßgebliche Interessenverflechtungen zwischen dem jeweiligen Emittenten und dem Unternehmen, das die Internetdienstleistungsplattform betreibt, bestehen,</w:t>
      </w:r>
    </w:p>
    <w:p>
      <w:pPr>
        <w:ind w:left="420"/>
      </w:pPr>
      <w:r>
        <w:t xml:space="preserve">2. der Anbieter entgegen § 6 keinen Verkaufsprospekt veröffentlicht hat oder dieser nach § 8a nicht mehr gültig ist,</w:t>
      </w:r>
    </w:p>
    <w:p>
      <w:pPr>
        <w:ind w:left="420"/>
      </w:pPr>
      <w:r>
        <w:t xml:space="preserve">3. der Verkaufsprospekt nicht die Angaben enthält, die nach § 7 Absatz 1 und 2, auch in Verbindung mit einer auf Grund des § 7 Absatz 3 erlassenen Rechtsverordnung, erforderlich sind oder die die Bundesanstalt nach § 15a zusätzlich verlangt hat,</w:t>
      </w:r>
    </w:p>
    <w:p>
      <w:pPr>
        <w:ind w:left="420"/>
      </w:pPr>
      <w:r>
        <w:t xml:space="preserve">4. der Verkaufsprospekt eine nach § 7 Absatz 2 Satz 3 unzulässige Begriffsverwendung enthält,</w:t>
      </w:r>
    </w:p>
    <w:p>
      <w:pPr>
        <w:ind w:left="420"/>
      </w:pPr>
      <w:r>
        <w:t xml:space="preserve">5. der Anbieter einen nach § 11 Absatz 1 erforderlichen Nachtrag nicht veröffentlicht hat,</w:t>
      </w:r>
    </w:p>
    <w:p>
      <w:pPr>
        <w:ind w:left="420"/>
      </w:pPr>
      <w:r>
        <w:t xml:space="preserve">6. der Anbieter entgegen § 8 einen Verkaufsprospekt oder entgegen § 11 Absatz 1 Satz 2 bis 4 einen Nachtrag vor der Billigung veröffentlicht oder</w:t>
      </w:r>
    </w:p>
    <w:p>
      <w:pPr>
        <w:ind w:left="420"/>
      </w:pPr>
      <w:r>
        <w:t xml:space="preserve">7. der Anbieter entgegen § 13 oder § 13a kein Vermögensanlagen-Informationsblatt hinterlegt und veröffentlicht hat, oder der Anbieter eine nach § 13 Absatz 7 erforderliche Aktualisierung nicht veröffentlicht hat.</w:t>
      </w:r>
    </w:p>
    <w:p>
      <w:r>
        <w:t xml:space="preserve">(2) Der Bundesanstalt stehen die in § 15 des Wertpapierhandelsgesetzes genannten Befugnisse unter den dort genannten Voraussetzungen auch im Hinblick auf Vermögensanlagen zu.</w:t>
      </w:r>
    </w:p>
    <w:p>
      <w:r>
        <w:t xml:space="preserve">(3) Der Bundesanstalt stehen die in § 10 Absatz 1 Satz 2 und 3 des Wertpapierhandelsgesetzes genannten Befugnisse unter den dort genannten Voraussetzungen auch gegenüber Anbietern und Emittenten von Vermögensanlagen zu.</w:t>
      </w:r>
    </w:p>
    <w:p>
      <w:r>
        <w:rPr>
          <w:color w:val="555555"/>
          <w:sz w:val="17"/>
        </w:rPr>
        <w:t xml:space="preserve">Zitiervorschlag: § 18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