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VermAnlG — Frist und Form der Veröffentlichung eines Vermögensanlagen-Informationsblatts</w:t>
      </w:r>
    </w:p>
    <w:p>
      <w:r>
        <w:rPr>
          <w:color w:val="555555"/>
          <w:sz w:val="18"/>
        </w:rPr>
        <w:t xml:space="preserve">Vermögensanlagengesetz</w:t>
      </w:r>
    </w:p>
    <w:p>
      <w:r>
        <w:rPr>
          <w:color w:val="555555"/>
          <w:sz w:val="18"/>
        </w:rPr>
        <w:t xml:space="preserve">Stand: 01.01.2022 (konsolidierte Textfassung, kein amtliches Inkrafttretensdatum)</w:t>
      </w:r>
    </w:p>
    <w:p>
      <w:r>
        <w:t xml:space="preserve">(1) Das hinterlegte Vermögensanlagen-Informationsblatt muss mindestens einen Arbeitstag vor dem öffentlichen Angebot auf der Internetseite des Anbieters veröffentlicht und bei den im Verkaufsprospekt angegebenen Stellen zur kostenlosen Ausgabe bereitgehalten werden. Die aktuelle Fassung des Vermögensanlagen-Informationsblatts muss für die Dauer des öffentlichen Angebots nach Satz 1 zugänglich gemacht und bereitgehalten werden.</w:t>
      </w:r>
    </w:p>
    <w:p>
      <w:r>
        <w:t xml:space="preserve">(2) Ist die Erstellung eines Verkaufsprospekts nach § 2a oder § 2b entbehrlich, muss das Vermögensanlagen-Informationsblatt entsprechend den Vorgaben des Absatzes 1 auf der Internetseite der Internet-Dienstleistungsplattform und des Anbieters ohne Zugriffsbeschränkungen für jedermann zugänglich gemacht werden.</w:t>
      </w:r>
    </w:p>
    <w:p>
      <w:r>
        <w:t xml:space="preserve">(3) Die Bundesanstalt veröffentlicht auf ihrer Internetseite für den Fall, dass die Erstellung eines Verkaufsprospekts nach §§ 2a oder 2b entbehrlich ist, die nach § 13 gestatteten Vermögensanlagen-Informationsblätter. Diese bleiben zehn Jahre lang auf der Internetseite öffentlich zugänglich. Die Bundesanstalt veröffentlicht auf ihrer Internetseite auch die nach § 13 Absatz 7 Satz 2 übermittelten aktualisierten Fassungen der Vermögensanlagen-Informationsblätter; Satz 2 gilt entsprechend.</w:t>
      </w:r>
    </w:p>
    <w:p>
      <w:r>
        <w:rPr>
          <w:color w:val="555555"/>
          <w:sz w:val="17"/>
        </w:rPr>
        <w:t xml:space="preserve">Zitiervorschlag: § 13a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