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VermAnlG — Anwendungsbereich und Begriffsbestimmungen</w:t>
      </w:r>
    </w:p>
    <w:p>
      <w:r>
        <w:rPr>
          <w:color w:val="555555"/>
          <w:sz w:val="18"/>
        </w:rPr>
        <w:t xml:space="preserve">Vermögensanlagengesetz</w:t>
      </w:r>
    </w:p>
    <w:p>
      <w:r>
        <w:rPr>
          <w:color w:val="555555"/>
          <w:sz w:val="18"/>
        </w:rPr>
        <w:t xml:space="preserve">Stand: 30.12.2024 (konsolidierte Textfassung, kein amtliches Inkrafttretensdatum)</w:t>
      </w:r>
    </w:p>
    <w:p>
      <w:r>
        <w:t xml:space="preserve">(1) Dieses Gesetz ist auf Vermögensanlagen anzuwenden, die im Inland öffentlich angeboten werden. Es gilt nicht für ein öffentliches Angebot, das von einem im Rahmen der Verordnung (EU) 2020/1503 des Europäischen Parlaments und des Rates vom 7. Oktober 2020 über Europäische Schwarmfinanzierungsdienstleister für Unternehmen und zur Änderung der Verordnung (EU) 2017/1129 und der Richtlinie (EU) 2019/1937 (ABl. L 347 vom 20.10.2020, S. 1), in der jeweils geltenden Fassung, zugelassenen Schwarmfinanzierungsdienstleister unterbreitet wird, sofern es nicht den in Artikel 1 Absatz 2 Buchstabe c jener Verordnung genannten Schwellenwert übersteigt. Dieses Gesetz gilt auch nicht, soweit ein Sachverhalt von der Verordnung (EU) 2023/1114 des Europäischen Parlaments und des Rates vom 31. Mai 2023 über Märkte für Kryptowerte und zur Änderung der Verordnungen (EU) Nr. 1093/2010 und (EU) Nr. 1095/2010 sowie der Richtlinien 2013/36/EU und (EU) 2019/1937 (ABl. L 150 vom 9.6.2023, S. 40) in der jeweils geltenden Fassung geregelt ist.</w:t>
      </w:r>
    </w:p>
    <w:p>
      <w:r>
        <w:t xml:space="preserve">(2) Vermögensanlagen im Sinne dieses Gesetzes sind nicht in Wertpapieren im Sinne des Wertpapierprospektgesetzes verbriefte und nicht als Anteile an Investmentvermögen im Sinne des § 1 Absatz 1 des Kapitalanlagegesetzbuchs ausgestaltete</w:t>
      </w:r>
    </w:p>
    <w:p>
      <w:pPr>
        <w:ind w:left="420"/>
      </w:pPr>
      <w:r>
        <w:t xml:space="preserve">1. Anteile, die eine Beteiligung am Ergebnis eines Unternehmens gewähren,</w:t>
      </w:r>
    </w:p>
    <w:p>
      <w:pPr>
        <w:ind w:left="420"/>
      </w:pPr>
      <w:r>
        <w:t xml:space="preserve">2. Anteile an einem Vermögen, das der Emittent oder ein Dritter in eigenem Namen für fremde Rechnung hält oder verwaltet (Treuhandvermögen),</w:t>
      </w:r>
    </w:p>
    <w:p>
      <w:pPr>
        <w:ind w:left="420"/>
      </w:pPr>
      <w:r>
        <w:t xml:space="preserve">3. partiarische Darlehen,</w:t>
      </w:r>
    </w:p>
    <w:p>
      <w:pPr>
        <w:ind w:left="420"/>
      </w:pPr>
      <w:r>
        <w:t xml:space="preserve">4. Nachrangdarlehen,</w:t>
      </w:r>
    </w:p>
    <w:p>
      <w:pPr>
        <w:ind w:left="420"/>
      </w:pPr>
      <w:r>
        <w:t xml:space="preserve">5. Genussrechte,</w:t>
      </w:r>
    </w:p>
    <w:p>
      <w:pPr>
        <w:ind w:left="420"/>
      </w:pPr>
      <w:r>
        <w:t xml:space="preserve">6. Namensschuldverschreibungen,</w:t>
      </w:r>
    </w:p>
    <w:p>
      <w:pPr>
        <w:ind w:left="420"/>
      </w:pPr>
      <w:r>
        <w:t xml:space="preserve">7. sonstige Anlagen, die eine Verzinsung und Rückzahlung oder einen vermögenswerten Barausgleich im Austausch für die zeitweise Überlassung von Geld gewähren oder in Aussicht stellen, und</w:t>
      </w:r>
    </w:p>
    <w:p>
      <w:pPr>
        <w:ind w:left="420"/>
      </w:pPr>
      <w:r>
        <w:t xml:space="preserve">8. Anlagen, die im Austausch für die zeitweise Überlassung von Geld oder handelsüblichen Edelmetallen</w:t>
      </w:r>
    </w:p>
    <w:p>
      <w:pPr>
        <w:ind w:left="780"/>
      </w:pPr>
      <w:r>
        <w:t xml:space="preserve">a) eine Verzinsung und Rückzahlung,</w:t>
      </w:r>
    </w:p>
    <w:p>
      <w:pPr>
        <w:ind w:left="780"/>
      </w:pPr>
      <w:r>
        <w:t xml:space="preserve">b) eine Verzinsung und Herausgabe von handelsüblichen Edelmetallen,</w:t>
      </w:r>
    </w:p>
    <w:p>
      <w:pPr>
        <w:ind w:left="780"/>
      </w:pPr>
      <w:r>
        <w:t xml:space="preserve">c) einen vermögenswerten Barausgleich oder</w:t>
      </w:r>
    </w:p>
    <w:p>
      <w:pPr>
        <w:ind w:left="780"/>
      </w:pPr>
      <w:r>
        <w:t xml:space="preserve">d) einen vermögenswerten Ausgleich durch die Herausgabe von handelsüblichen Edelmetallen</w:t>
      </w:r>
    </w:p>
    <w:p>
      <w:pPr>
        <w:ind w:left="420"/>
      </w:pPr>
      <w:r>
        <w:t xml:space="preserve">gewähren oder in Aussicht stellen,</w:t>
      </w:r>
    </w:p>
    <w:p>
      <w:r>
        <w:t xml:space="preserve">sofern die Annahme der Gelder nicht als Einlagengeschäft im Sinne des § 1 Absatz 1 Satz 2 Nummer 1 des Kreditwesengesetzes zu qualifizieren ist.</w:t>
      </w:r>
    </w:p>
    <w:p>
      <w:r>
        <w:t xml:space="preserve">(3) Emittent im Sinne dieses Gesetzes ist die Person oder die Gesellschaft, deren Vermögensanlagen auf Grund eines öffentlichen Angebots im Inland ausgegeben sind.</w:t>
      </w:r>
    </w:p>
    <w:p>
      <w:r>
        <w:rPr>
          <w:color w:val="555555"/>
          <w:sz w:val="17"/>
        </w:rPr>
        <w:t xml:space="preserve">Zitiervorschlag: § 1 VermAnlG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https://recht.nulegal.eu/gesetze/VermAnlG/1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