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Verlagsrecht entsteht mit der Ablieferung des Werkes an den Verleger und erlischt mit der Beendigung des Vertragsverhältnisses.</w:t>
      </w:r>
    </w:p>
    <w:p>
      <w:r>
        <w:t xml:space="preserve">(2) Soweit der Schutz des Verlagsrechts es erfordert, kann der Verleger gegen den Verfasser sowie gegen Dritte die Befugnisse ausüben, die zum Schutze des Urheberrechts durch das Gesetz vorgesehen sind.</w:t>
      </w:r>
    </w:p>
    <w:p>
      <w:r>
        <w:rPr>
          <w:color w:val="555555"/>
          <w:sz w:val="17"/>
        </w:rPr>
        <w:t xml:space="preserve">Zitiervorschlag: § 9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