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üblichen Zuschußexemplare werden in die Zahl der zulässigen Abzüge nicht eingerechnet. Das Gleiche gilt von Freiexemplaren, soweit ihre Zahl den zwanzigsten Teil der zulässigen Abzüge nicht übersteigt.</w:t>
      </w:r>
    </w:p>
    <w:p>
      <w:r>
        <w:t xml:space="preserve">(2) Zuschußexemplare, die nicht zum Ersatz oder zur Ergänzung beschädigter Abzüge verwendet worden sind, dürfen von dem Verleger nicht verbreitet werden.</w:t>
      </w:r>
    </w:p>
    <w:p>
      <w:r>
        <w:rPr>
          <w:color w:val="555555"/>
          <w:sz w:val="17"/>
        </w:rPr>
        <w:t xml:space="preserve">Zitiervorschlag: § 6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