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VerlG</w:t>
      </w:r>
    </w:p>
    <w:p>
      <w:r>
        <w:rPr>
          <w:color w:val="555555"/>
          <w:sz w:val="18"/>
        </w:rPr>
        <w:t xml:space="preserve">Gesetz über das Verlagsrecht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dieses Gesetzes finden auch dann Anwendung, wenn derjenige, welcher mit dem Verleger den Vertrag abschließt, nicht der Verfasser ist.</w:t>
      </w:r>
    </w:p>
    <w:p>
      <w:r>
        <w:rPr>
          <w:color w:val="555555"/>
          <w:sz w:val="17"/>
        </w:rPr>
        <w:t xml:space="preserve">Zitiervorschlag: § 48 VerlG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https://recht.nulegal.eu/gesetze/VerlG/48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