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VerlG</w:t>
      </w:r>
    </w:p>
    <w:p>
      <w:r>
        <w:rPr>
          <w:color w:val="555555"/>
          <w:sz w:val="18"/>
        </w:rPr>
        <w:t xml:space="preserve">Gesetz über das Verlagsrecht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Erscheint der Beitrag in einer Zeitung, so kann der Verfasser Freiexemplare nicht verlangen.</w:t>
      </w:r>
    </w:p>
    <w:p>
      <w:r>
        <w:t xml:space="preserve">(2) Der Verleger ist nicht verpflichtet, dem Verfasser Abzüge zum Buchhändlerpreise zu überlassen.</w:t>
      </w:r>
    </w:p>
    <w:p>
      <w:r>
        <w:rPr>
          <w:color w:val="555555"/>
          <w:sz w:val="17"/>
        </w:rPr>
        <w:t xml:space="preserve">Zitiervorschlag: § 46 VerlG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https://recht.nulegal.eu/gesetze/VerlG/46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