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Wird der Beitrag nicht innerhalb eines Jahres nach der Ablieferung an den Verleger veröffentlicht, so kann der Verfasser das Vertragsverhältnis kündigen. Der Anspruch auf die Vergütung bleibt unberührt.</w:t>
      </w:r>
    </w:p>
    <w:p>
      <w:r>
        <w:t xml:space="preserve">(2) Ein Anspruch auf Vervielfältigung und Verbreitung des Beitrags oder auf Schadensersatz wegen Nichterfüllung steht dem Verfasser nur zu, wenn ihm der Zeitpunkt, in welchem der Beitrag erscheinen soll, von dem Verleger bezeichnet worden ist.</w:t>
      </w:r>
    </w:p>
    <w:p>
      <w:r>
        <w:rPr>
          <w:color w:val="555555"/>
          <w:sz w:val="17"/>
        </w:rPr>
        <w:t xml:space="preserve">Zitiervorschlag: § 45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