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VerlG</w:t>
      </w:r>
    </w:p>
    <w:p>
      <w:r>
        <w:rPr>
          <w:color w:val="555555"/>
          <w:sz w:val="18"/>
        </w:rPr>
        <w:t xml:space="preserve">Gesetz über das Verlagsrecht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Soll der Beitrag ohne den Namen des Verfassers erscheinen, so ist der Verleger befugt, an der Fassung solche Änderungen vorzunehmen, welche bei Sammelwerken derselben Art üblich sind.</w:t>
      </w:r>
    </w:p>
    <w:p>
      <w:r>
        <w:rPr>
          <w:color w:val="555555"/>
          <w:sz w:val="17"/>
        </w:rPr>
        <w:t xml:space="preserve">Zitiervorschlag: § 44 VerlG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https://recht.nulegal.eu/gesetze/VerlG/44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