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Wird der Rücktritt von dem Verlagsvertrag erklärt, nachdem das Werk ganz oder zum Teil abgeliefert worden ist, so hängt es von den Umständen ab, ob der Vertrag teilweise aufrechterhalten bleibt. Es begründet keinen Unterschied, ob der Rücktritt auf Grund des Gesetzes oder eines Vorbehalts im Vertrag erfolgt.</w:t>
      </w:r>
    </w:p>
    <w:p>
      <w:r>
        <w:t xml:space="preserve">(2) Im Zweifel bleibt der Vertrag insoweit aufrechterhalten, als er sich auf die nicht mehr zur Verfügung des Verlegers stehenden Abzüge, auf frühere Abteilungen des Werkes oder auf ältere Auflagen erstreckt.</w:t>
      </w:r>
    </w:p>
    <w:p>
      <w:r>
        <w:t xml:space="preserve">(3) Soweit der Vertrag aufrechterhalten bleibt, kann der Verfasser einen entsprechenden Teil der Vergütung verlangen.</w:t>
      </w:r>
    </w:p>
    <w:p>
      <w:r>
        <w:t xml:space="preserve">(4) Diese Vorschriften finden auch Anwendung, wenn der Vertrag in anderer Weise rückgängig wird.</w:t>
      </w:r>
    </w:p>
    <w:p>
      <w:r>
        <w:rPr>
          <w:color w:val="555555"/>
          <w:sz w:val="17"/>
        </w:rPr>
        <w:t xml:space="preserve">Zitiervorschlag: § 38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