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VerlG</w:t>
      </w:r>
    </w:p>
    <w:p>
      <w:r>
        <w:rPr>
          <w:color w:val="555555"/>
          <w:sz w:val="18"/>
        </w:rPr>
        <w:t xml:space="preserve">Gesetz über das Verlagsrecht</w:t>
      </w:r>
    </w:p>
    <w:p>
      <w:r>
        <w:rPr>
          <w:color w:val="555555"/>
          <w:sz w:val="18"/>
        </w:rPr>
        <w:t xml:space="preserve">Stand: 10.06.2019 (konsolidierte Textfassung, kein amtliches Inkrafttretensdatum)</w:t>
      </w:r>
    </w:p>
    <w:p>
      <w:r>
        <w:t xml:space="preserve">(1) Wird über das Vermögen des Verlegers das Insolvenzverfahren eröffnet, so finden die Vorschriften des § 103 der Insolvenzordnung auch dann Anwendung, wenn das Werk bereits vor der Eröffnung des Verfahrens abgeliefert worden war.</w:t>
      </w:r>
    </w:p>
    <w:p>
      <w:r>
        <w:t xml:space="preserve">(2) Besteht der Insolvenzverwalter auf der Erfüllung des Vertrags, so tritt, wenn er die Rechte des Verlegers auf einen anderen überträgt, dieser anstelle der Insolvenzmasse in die sich aus dem Vertragsverhältnis ergebenden Verpflichtungen ein. Die Insolvenzmasse haftet jedoch, wenn der Erwerber die Verpflichtungen nicht erfüllt, für den von dem Erwerber zu ersetzenden Schaden wie ein Bürge, der auf die Einrede der Vorausklage verzichtet hat. Wird das Insolvenzverfahren aufgehoben, so sind die aus dieser Haftung sich ergebenden Ansprüche des Verfassers gegen die Masse sicherzustellen.</w:t>
      </w:r>
    </w:p>
    <w:p>
      <w:r>
        <w:t xml:space="preserve">(3) War zur Zeit der Eröffnung des Verfahrens mit der Vervielfältigung noch nicht begonnen, so kann der Verfasser von dem Vertrage zurücktreten.</w:t>
      </w:r>
    </w:p>
    <w:p>
      <w:r>
        <w:rPr>
          <w:color w:val="555555"/>
          <w:sz w:val="17"/>
        </w:rPr>
        <w:t xml:space="preserve">Zitiervorschlag: § 36 VerlG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https://recht.nulegal.eu/gesetze/VerlG/36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