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Bis zum Beginne der Vervielfältigung ist der Verfasser berechtigt, von dem Verlagsvertrage zurückzutreten, wenn sich Umstände ergeben, die bei dem Abschlusse des Vertrags nicht vorauszusehen waren und den Verfasser bei Kenntnis der Sachlage und verständiger Würdigung des Falles von der Herausgabe des Werkes zurückgehalten haben würden. Ist der Verleger befugt, eine neue Auflage zu veranstalten, so findet für die Auflage diese Vorschrift entsprechende Anwendung.</w:t>
      </w:r>
    </w:p>
    <w:p>
      <w:r>
        <w:t xml:space="preserve">(2) Erklärt der Verfasser auf Grund der Vorschrift des Absatzes 1 den Rücktritt, so ist er dem Verleger zum Ersatze der von diesem gemachten Aufwendungen verpflichtet. Gibt er innerhalb eines Jahres seit dem Rücktritte das Werk anderweit heraus, so ist er zum Schadensersatze wegen Nichterfüllung verpflichtet; diese Ersatzpflicht tritt nicht ein, wenn der Verfasser dem Verleger den Antrag, den Vertrag nachträglich zur Ausführung zu bringen, gemacht und der Verleger den Antrag nicht angenommen hat.</w:t>
      </w:r>
    </w:p>
    <w:p>
      <w:r>
        <w:rPr>
          <w:color w:val="555555"/>
          <w:sz w:val="17"/>
        </w:rPr>
        <w:t xml:space="preserve">Zitiervorschlag: § 35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