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Stirbt der Verfasser vor der Vollendung des Werkes, so ist, wenn ein Teil des Werkes dem Verleger bereits abgeliefert worden war, der Verleger berechtigt, in Ansehung des gelieferten Teiles den Vertrag durch eine dem Erben des Verfassers gegenüber abzugebende Erklärung aufrechtzuerhalten.</w:t>
      </w:r>
    </w:p>
    <w:p>
      <w:r>
        <w:t xml:space="preserve">(2) Der Erbe kann dem Verleger zur Ausübung des in Absatz 1 bezeichneten Rechtes eine angemessene Frist bestimmen. Das Recht erlischt, wenn sich der Verleger nicht vor dem Ablaufe der Frist für die Aufrechterhaltung des Vertrags erklärt.</w:t>
      </w:r>
    </w:p>
    <w:p>
      <w:r>
        <w:t xml:space="preserve">(3) Diese Vorschriften finden entsprechende Anwendung, wenn die Vollendung des Werkes infolge eines sonstigen nicht von dem Verfasser zu vertretenden Umstandes unmöglich wird.</w:t>
      </w:r>
    </w:p>
    <w:p>
      <w:r>
        <w:rPr>
          <w:color w:val="555555"/>
          <w:sz w:val="17"/>
        </w:rPr>
        <w:t xml:space="preserve">Zitiervorschlag: § 34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