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Geht das Werk nach der Ablieferung an den Verleger durch Zufall unter, so behält der Verfasser den Anspruch auf die Vergütung. Im übrigen werden beide Teile von der Verpflichtung zur Leistung frei.</w:t>
      </w:r>
    </w:p>
    <w:p>
      <w:r>
        <w:t xml:space="preserve">(2) Auf Verlangen des Verlegers hat jedoch der Verfasser gegen eine angemessene Vergütung ein anderes im wesentlichen übereinstimmendes Werk zu liefern, sofern dies auf Grund vorhandener Vorarbeiten oder sonstiger Unterlagen mit geringer Mühe geschehen kann; erbietet sich der Verfasser, ein solches Werk innerhalb einer angemessenen Frist kostenfrei zu liefern, so ist der Verleger verpflichtet, das Werk anstelle des untergegangenen zu vervielfältigen und zu verbreiten. Jeder Teil kann diese Rechte auch geltend machen, wenn das Werk nach der Ablieferung infolge eines Umstandes untergegangen ist, den der andere Teil zu vertreten hat.</w:t>
      </w:r>
    </w:p>
    <w:p>
      <w:r>
        <w:t xml:space="preserve">(3) Der Ablieferung steht es gleich, wenn der Verleger in Verzug der Annahme kommt.</w:t>
      </w:r>
    </w:p>
    <w:p>
      <w:r>
        <w:rPr>
          <w:color w:val="555555"/>
          <w:sz w:val="17"/>
        </w:rPr>
        <w:t xml:space="preserve">Zitiervorschlag: § 33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