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30 finden entsprechende Anwendung, wenn das Werk nicht von vertragsmäßiger Beschaffenheit ist.</w:t>
      </w:r>
    </w:p>
    <w:p>
      <w:r>
        <w:t xml:space="preserve">(2) Beruht der Mangel auf einem Umstande, den der Verfasser zu vertreten hat, so kann der Verleger statt des in § 30 vorgesehenen Rücktrittsrechts den Anspruch auf Schadensersatz wegen Nichterfüllung geltend machen.</w:t>
      </w:r>
    </w:p>
    <w:p>
      <w:r>
        <w:rPr>
          <w:color w:val="555555"/>
          <w:sz w:val="17"/>
        </w:rPr>
        <w:t xml:space="preserve">Zitiervorschlag: § 31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