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der Verlagsvertrag auf eine bestimmte Zahl von Auflagen oder von Abzügen beschränkt, so endigt das Vertragsverhältnis, wenn die Auflagen oder Abzüge vergriffen sind.</w:t>
      </w:r>
    </w:p>
    <w:p>
      <w:r>
        <w:t xml:space="preserve">(2) Der Verleger ist verpflichtet, dem Verfasser auf Verlangen Auskunft darüber zu erteilen, ob die einzelne Auflage oder die bestimmte Zahl von Abzügen vergriffen ist.</w:t>
      </w:r>
    </w:p>
    <w:p>
      <w:r>
        <w:t xml:space="preserve">(3) Wird der Verlagsvertrag für eine bestimmte Zeit geschlossen, so ist nach dem Ablaufe der Zeit der Verleger nicht mehr zur Verbreitung der noch vorhandenen Abzüge berechtigt.</w:t>
      </w:r>
    </w:p>
    <w:p>
      <w:r>
        <w:rPr>
          <w:color w:val="555555"/>
          <w:sz w:val="17"/>
        </w:rPr>
        <w:t xml:space="preserve">Zitiervorschlag: § 29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