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Der Verleger eines Werkes der Literatur ist verpflichtet, dem Verfasser auf je hundert Abzüge ein Freiexemplar, jedoch im ganzen nicht weniger als fünf und nicht mehr als fünfzehn zu liefern. Auch hat er dem Verfasser auf dessen Verlangen ein Exemplar in Aushängebogen zu überlassen.</w:t>
      </w:r>
    </w:p>
    <w:p>
      <w:r>
        <w:t xml:space="preserve">(2) Der Verleger eines Werkes der Tonkunst ist verpflichtet, dem Verfasser die übliche Zahl von Freiexemplaren zu liefern.</w:t>
      </w:r>
    </w:p>
    <w:p>
      <w:r>
        <w:t xml:space="preserve">(3) Von Beiträgen, die in Sammelwerken erscheinen, dürfen Sonderabzüge als Freiexemplare geliefert werden.</w:t>
      </w:r>
    </w:p>
    <w:p>
      <w:r>
        <w:rPr>
          <w:color w:val="555555"/>
          <w:sz w:val="17"/>
        </w:rPr>
        <w:t xml:space="preserve">Zitiervorschlag: § 25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