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Der Verleger ist verpflichtet, dem Verfasser die vereinbarte Vergütung zu zahlen. Eine Vergütung gilt als stillschweigend vereinbart, wenn die Überlassung des Werkes den Umständen nach nur gegen eine Vergütung zu erwarten ist.</w:t>
      </w:r>
    </w:p>
    <w:p>
      <w:r>
        <w:t xml:space="preserve">(2) Ist die Höhe der Vergütung nicht bestimmt, so ist eine angemessene Vergütung in Geld als vereinbart anzusehen.</w:t>
      </w:r>
    </w:p>
    <w:p>
      <w:r>
        <w:rPr>
          <w:color w:val="555555"/>
          <w:sz w:val="17"/>
        </w:rPr>
        <w:t xml:space="preserve">Zitiervorschlag: § 22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