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VerlG</w:t>
      </w:r>
    </w:p>
    <w:p>
      <w:r>
        <w:rPr>
          <w:color w:val="555555"/>
          <w:sz w:val="18"/>
        </w:rPr>
        <w:t xml:space="preserve">Gesetz über das Verlagsrecht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Verleger hat für die Korrektur zu sorgen. Einen Abzug hat er rechtzeitig dem Verfasser zur Durchsicht vorzulegen.</w:t>
      </w:r>
    </w:p>
    <w:p>
      <w:r>
        <w:t xml:space="preserve">(2) Der Abzug gilt als genehmigt, wenn der Verfasser ihn nicht binnen einer angemessenen Frist dem Verleger gegenüber beanstandet.</w:t>
      </w:r>
    </w:p>
    <w:p>
      <w:r>
        <w:rPr>
          <w:color w:val="555555"/>
          <w:sz w:val="17"/>
        </w:rPr>
        <w:t xml:space="preserve">Zitiervorschlag: § 20 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https://recht.nulegal.eu/gesetze/VerlG/20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