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Fällt der Zweck, welchem das Werk dienen sollte, nach dem Abschlusse des Vertrags weg, so kann der Verleger das Vertragsverhältnis kündigen; der Anspruch des Verfassers auf die Vergütung bleibt unberührt.</w:t>
      </w:r>
    </w:p>
    <w:p>
      <w:r>
        <w:t xml:space="preserve">(2) Das gleiche gilt, wenn Gegenstand des Verlagsvertrags ein Beitrag zu einem Sammelwerk ist und die Vervielfältigung des Sammelwerkes unterbleibt.</w:t>
      </w:r>
    </w:p>
    <w:p>
      <w:r>
        <w:rPr>
          <w:color w:val="555555"/>
          <w:sz w:val="17"/>
        </w:rPr>
        <w:t xml:space="preserve">Zitiervorschlag: § 18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