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VerlG</w:t>
      </w:r>
    </w:p>
    <w:p>
      <w:r>
        <w:rPr>
          <w:color w:val="555555"/>
          <w:sz w:val="18"/>
        </w:rPr>
        <w:t xml:space="preserve">Gesetz über das Verlagsrecht</w:t>
      </w:r>
    </w:p>
    <w:p>
      <w:r>
        <w:rPr>
          <w:color w:val="555555"/>
          <w:sz w:val="18"/>
        </w:rPr>
        <w:t xml:space="preserve">Stand: 10.06.2019 (konsolidierte Textfassung, kein amtliches Inkrafttretensdatum)</w:t>
      </w:r>
    </w:p>
    <w:p>
      <w:r>
        <w:t xml:space="preserve">Der Verleger hat mit der Vervielfältigung zu beginnen, sobald ihm das vollständige Werk zugegangen ist. Erscheint das Werk in Abteilungen, so ist mit der Vervielfältigung zu beginnen, sobald der Verfasser eine Abteilung abgeliefert hat, die nach ordnungsmäßiger Folge zur Herausgabe bestimmt ist.</w:t>
      </w:r>
    </w:p>
    <w:p>
      <w:r>
        <w:rPr>
          <w:color w:val="555555"/>
          <w:sz w:val="17"/>
        </w:rPr>
        <w:t xml:space="preserve">Zitiervorschlag: § 15 VerlG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https://recht.nulegal.eu/gesetze/VerlG/15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