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Ist der Verlagsvertrag über ein bereits vollendetes Werk geschlossen, so ist das Werk sofort abzuliefern.</w:t>
      </w:r>
    </w:p>
    <w:p>
      <w:r>
        <w:t xml:space="preserve">(2) Soll das Werk erst nach dem Abschlusse des Verlagsvertrags hergestellt werden, so richtet sich die Frist der Ablieferung nach dem Zwecke, welchem das Werk dienen soll. Soweit sich hieraus nichts ergibt, richtet sich die Frist nach dem Zeitraum, innerhalb dessen der Verfasser das Werk bei einer seinen Verhältnissen entsprechenden Arbeitsleistung herstellen kann; eine anderweitige Tätigkeit des Verfassers bleibt bei der Bemessung der Frist nur dann außer Betracht, wenn der Verleger die Tätigkeit bei dem Abschlusse des Vertrags weder kannte noch kennen mußte.</w:t>
      </w:r>
    </w:p>
    <w:p>
      <w:r>
        <w:rPr>
          <w:color w:val="555555"/>
          <w:sz w:val="17"/>
        </w:rPr>
        <w:t xml:space="preserve">Zitiervorschlag: § 11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