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VerlG</w:t>
      </w:r>
    </w:p>
    <w:p>
      <w:r>
        <w:rPr>
          <w:color w:val="555555"/>
          <w:sz w:val="18"/>
        </w:rPr>
        <w:t xml:space="preserve">Gesetz über das Verlagsrecht</w:t>
      </w:r>
    </w:p>
    <w:p>
      <w:r>
        <w:rPr>
          <w:color w:val="555555"/>
          <w:sz w:val="18"/>
        </w:rPr>
        <w:t xml:space="preserve">Stand: 10.06.2019 (konsolidierte Textfassung, kein amtliches Inkrafttretensdatum)</w:t>
      </w:r>
    </w:p>
    <w:p>
      <w:r>
        <w:t xml:space="preserve">Durch den Verlagsvertrag über ein Werk der Literatur oder der Tonkunst wird der Verfasser verpflichtet, dem Verleger das Werk zur Vervielfältigung und Verbreitung für eigene Rechnung zu überlassen. Der Verleger ist verpflichtet, das Werk zu vervielfältigen und zu verbreiten.</w:t>
      </w:r>
    </w:p>
    <w:p>
      <w:r>
        <w:rPr>
          <w:color w:val="555555"/>
          <w:sz w:val="17"/>
        </w:rPr>
        <w:t xml:space="preserve">Zitiervorschlag: § 1 VerlG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https://recht.nulegal.eu/gesetze/VerlG/1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