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VerkdHSpFruSpPflEG — Inkrafttreten</w:t>
      </w:r>
    </w:p>
    <w:p>
      <w:r>
        <w:rPr>
          <w:color w:val="555555"/>
          <w:sz w:val="18"/>
        </w:rPr>
        <w:t xml:space="preserve">Gesetz zur Einführung einer Speicherpflicht und einer Höchstspeicherfrist für Verkehrsdaten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Art 8 VerkdHSpFruSpPflEG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https://recht.nulegal.eu/gesetze/VerkdHSpFruSpPflEG/8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