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VerkdHSpFruSpPflEG — Einschränkung von Grundrechten</w:t>
      </w:r>
    </w:p>
    <w:p>
      <w:r>
        <w:rPr>
          <w:color w:val="555555"/>
          <w:sz w:val="18"/>
        </w:rPr>
        <w:t xml:space="preserve">Gesetz zur Einführung einer Speicherpflicht und einer Höchstspeicherfrist für Verkehrsdaten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Durch die Artikel 1 und 2 dieses Gesetzes wird das Fernmeldegeheimnis (Artikel 10 des Grundgesetzes) eingeschränkt.</w:t>
      </w:r>
    </w:p>
    <w:p>
      <w:r>
        <w:rPr>
          <w:color w:val="555555"/>
          <w:sz w:val="17"/>
        </w:rPr>
        <w:t xml:space="preserve">Zitiervorschlag: Art 6 VerkdHSpFruSpPflEG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https://recht.nulegal.eu/gesetze/VerkdHSpFruSpPflEG/6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