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VerkStatG — Erhebungsbereich</w:t>
      </w:r>
    </w:p>
    <w:p>
      <w:r>
        <w:rPr>
          <w:color w:val="555555"/>
          <w:sz w:val="18"/>
        </w:rPr>
        <w:t xml:space="preserve">Verkehrsstatistikgesetz</w:t>
      </w:r>
    </w:p>
    <w:p>
      <w:r>
        <w:rPr>
          <w:color w:val="555555"/>
          <w:sz w:val="18"/>
        </w:rPr>
        <w:t xml:space="preserve">Stand: 10.06.2019 (konsolidierte Textfassung, kein amtliches Inkrafttretensdatum)</w:t>
      </w:r>
    </w:p>
    <w:p>
      <w:r>
        <w:t xml:space="preserve">(1) Die Erhebung nach § 1 Nr. 3 erfasst Verkehrsleistungen des gewerblichen Güterkraftverkehrs und des Werkverkehrs. Sie erstreckt sich auf im Zentralen Fahrzeugregister des Kraftfahrt-Bundesamtes nach § 33 Abs. 1 und 2 des Straßenverkehrsgesetzes enthaltene Lastkraftfahrzeuge (Lastkraftwagen und Sattelzugmaschinen), deren zulässiges Gesamtgewicht 6 Tonnen oder deren Nutzlast 3,5 Tonnen übersteigt, sowie die von diesen Lastkraftfahrzeugen gezogenen Anhänger und Sattelauflieger. In die Erhebung einbezogen wird je Berichtszeitraum eine repräsentative Auswahl von höchstens fünf Promille der Erhebungseinheiten nach Satz 2.</w:t>
      </w:r>
    </w:p>
    <w:p>
      <w:r>
        <w:t xml:space="preserve">(2) Die Erhebung nach § 1 Nr. 4 erfasst den gewerblichen Güterkraftverkehr und den Werkverkehr. Sie erstreckt sich auf eine repräsentative Auswahl von höchstens 10 vom Hundert der Unternehmen, die Güterkraftverkehr als Haupt-, Neben- oder Hilfstätigkeit ausüben und die Lastkraftfahrzeuge mit mehr als 3,5 Tonnen zulässigem Gesamtgewicht einsetzen. Auswahlgrundlage für die Erhebung ist:</w:t>
      </w:r>
    </w:p>
    <w:p>
      <w:pPr>
        <w:ind w:left="420"/>
      </w:pPr>
      <w:r>
        <w:t xml:space="preserve">1. für den gewerblichen Güterkraftverkehr die Unternehmensdatei nach § 15 des Güterkraftverkehrsgesetzes,</w:t>
      </w:r>
    </w:p>
    <w:p>
      <w:pPr>
        <w:ind w:left="420"/>
      </w:pPr>
      <w:r>
        <w:t xml:space="preserve">2. für den Werkverkehr die Werkverkehrsdatei nach § 15a des Güterkraftverkehrsgesetzes.</w:t>
      </w:r>
    </w:p>
    <w:p>
      <w:r>
        <w:rPr>
          <w:color w:val="555555"/>
          <w:sz w:val="17"/>
        </w:rPr>
        <w:t xml:space="preserve">Zitiervorschlag: § 6 VerkStatG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https://recht.nulegal.eu/gesetze/VerkStatG/6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