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VerkStatG — Anschriftenübermittlung</w:t>
      </w:r>
    </w:p>
    <w:p>
      <w:r>
        <w:rPr>
          <w:color w:val="555555"/>
          <w:sz w:val="18"/>
        </w:rPr>
        <w:t xml:space="preserve">Verkehrsstatistikgesetz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Durchführung der Erhebung nach § 1 Nr. 1 übermitteln den statistischen Ämtern der Länder und dem Statistischen Bundesamt jeweils für deren Zuständigkeitsbereich auf Anforderung</w:t>
      </w:r>
    </w:p>
    <w:p>
      <w:pPr>
        <w:ind w:left="420"/>
      </w:pPr>
      <w:r>
        <w:t xml:space="preserve">1. die natürlichen Personen und die juristischen Personen des öffentlichen und privaten Rechts, welche die Häfen verwalten,</w:t>
      </w:r>
    </w:p>
    <w:p>
      <w:pPr>
        <w:ind w:left="420"/>
      </w:pPr>
      <w:r>
        <w:t xml:space="preserve">2. die Betreiber der in den Häfen vorhandenen Umschlagseinrichtungen,</w:t>
      </w:r>
    </w:p>
    <w:p>
      <w:pPr>
        <w:ind w:left="420"/>
      </w:pPr>
      <w:r>
        <w:t xml:space="preserve">3. die Betreiber der in den Häfen vorhandenen Einrichtungen zur Personenabfertigung,</w:t>
      </w:r>
    </w:p>
    <w:p>
      <w:pPr>
        <w:ind w:left="420"/>
      </w:pPr>
      <w:r>
        <w:t xml:space="preserve">4. die Grenzzollstellen,</w:t>
      </w:r>
    </w:p>
    <w:p>
      <w:pPr>
        <w:ind w:left="420"/>
      </w:pPr>
      <w:r>
        <w:t xml:space="preserve">5. die Wasserstraßen- und Schifffahrtsverwaltung des Bundes</w:t>
      </w:r>
    </w:p>
    <w:p>
      <w:r>
        <w:t xml:space="preserve">Bezeichnung und Anschrift des Auskunftspflichtigen, sofern sie nach § 26 Abs. 3 Satz 1 und 2 zum Angebot der Übermittlung der Angaben für die Schifffahrtsstatistik verpflichtet sind und der Auskunftspflichtige dieses Angebot nicht annimmt.</w:t>
      </w:r>
    </w:p>
    <w:p>
      <w:r>
        <w:t xml:space="preserve">(2) Für die Durchführung der Erhebung nach § 1 Nr. 2 übermitteln dem Statistischen Bundesamt auf Anforderung</w:t>
      </w:r>
    </w:p>
    <w:p>
      <w:pPr>
        <w:ind w:left="420"/>
      </w:pPr>
      <w:r>
        <w:t xml:space="preserve">1. die Berufsgenossenschaft Verkehrswirtschaft Post-Logistik Telekommunikation Name und Anschrift von Binnenschifffahrt betreibenden Unternehmen,</w:t>
      </w:r>
    </w:p>
    <w:p>
      <w:pPr>
        <w:ind w:left="420"/>
      </w:pPr>
      <w:r>
        <w:t xml:space="preserve">2. die nach § 9 Abs. 1 des Binnenschifffahrtsaufgabengesetzes zuständige Stelle Name und Anschrift derjenigen Eigentümer von Binnenschiffen, die ihren Geschäftssitz im Geltungsbereich dieses Gesetzes haben; dieses Gesetz ist in der Fassung der Bekanntmachung vom 4. August 1986 (BGBl. I S. 1270), das zuletzt durch Artikel 3 des Gesetzes vom 17. Dezember 1999 (BGBl. I S. 2452) geändert worden ist, in der jeweils geltenden Fassung anzuwenden,</w:t>
      </w:r>
    </w:p>
    <w:p>
      <w:pPr>
        <w:ind w:left="420"/>
      </w:pPr>
      <w:r>
        <w:t xml:space="preserve">3. die Generaldirektion Wasserstraßen und Schifffahrt Name und Anschrift der inländischen Eigentümer der geeichten Schiffe,</w:t>
      </w:r>
    </w:p>
    <w:p>
      <w:pPr>
        <w:ind w:left="420"/>
      </w:pPr>
      <w:r>
        <w:t xml:space="preserve">4. die Vermieter von Binnenschiffen Name und Anschrift derjenigen Mieter oder Pächter, die ihren Geschäftssitz im Geltungsbereich dieses Gesetzes haben.</w:t>
      </w:r>
    </w:p>
    <w:p>
      <w:r>
        <w:rPr>
          <w:color w:val="555555"/>
          <w:sz w:val="17"/>
        </w:rPr>
        <w:t xml:space="preserve">Zitiervorschlag: § 5 VerkStatG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https://recht.nulegal.eu/gesetze/VerkStatG/5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