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VerkStatG — Zuständigkeit für die Verfolgung und Ahndung von Ordnungswidrigkeiten</w:t>
      </w:r>
    </w:p>
    <w:p>
      <w:r>
        <w:rPr>
          <w:color w:val="555555"/>
          <w:sz w:val="18"/>
        </w:rPr>
        <w:t xml:space="preserve">Verkehrsstatistikgesetz</w:t>
      </w:r>
    </w:p>
    <w:p>
      <w:r>
        <w:rPr>
          <w:color w:val="555555"/>
          <w:sz w:val="18"/>
        </w:rPr>
        <w:t xml:space="preserve">Stand: 09.03.2023 (konsolidierte Textfassung, kein amtliches Inkrafttretensdatum)</w:t>
      </w:r>
    </w:p>
    <w:p>
      <w:r>
        <w:t xml:space="preserve">Verwaltungsbehörde im Sinne des § 36 Abs. 1 Nr. 1 des Gesetzes über Ordnungswidrigkeiten ist für die Verfolgung und Ahndung von Ordnungswidrigkeiten nach § 23 Abs. 1 des Bundesstatistikgesetzes das Bundesamt für Logistik und Mobilität, soweit Auskunftspflichten nach § 26 Abs. 1 Satz 1 und Abs. 2 Satz 1 Nr. 2 und 3 für die Statistiken nach § 1 Nr. 3 und 4 betroffen sind.</w:t>
      </w:r>
    </w:p>
    <w:p>
      <w:r>
        <w:rPr>
          <w:color w:val="555555"/>
          <w:sz w:val="17"/>
        </w:rPr>
        <w:t xml:space="preserve">Zitiervorschlag: § 31 VerkStatG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https://recht.nulegal.eu/gesetze/VerkStatG/31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