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VerkStatG — Schifffahrtsstatistik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Erhebung nach § 1 Nr. 1 erfasst laufend folgende Erhebungsmerkmale:</w:t>
      </w:r>
    </w:p>
    <w:p>
      <w:pPr>
        <w:ind w:left="420"/>
      </w:pPr>
      <w:r>
        <w:t xml:space="preserve">1. für die Schiffe:Art, Flagge und Tragfähigkeit, in der Seeschifffahrt zusätzlich Bruttoraumzahl;</w:t>
      </w:r>
    </w:p>
    <w:p>
      <w:pPr>
        <w:ind w:left="420"/>
      </w:pPr>
      <w:r>
        <w:t xml:space="preserve">2. für die Fahrten:Meldehafen, Ankunfts- und Abgangstag, in der Binnenschifffahrt zusätzlich der Fahrtweg;</w:t>
      </w:r>
    </w:p>
    <w:p>
      <w:pPr>
        <w:ind w:left="420"/>
      </w:pPr>
      <w:r>
        <w:t xml:space="preserve">3. für die eingeladenen oder ausgeladenen sowie im Durchgangsverkehr beförderten Güter und Ladungseinheiten:</w:t>
      </w:r>
    </w:p>
    <w:p>
      <w:pPr>
        <w:ind w:left="780"/>
      </w:pPr>
      <w:r>
        <w:t xml:space="preserve">a) Ein- und Ausladehafen,</w:t>
      </w:r>
    </w:p>
    <w:p>
      <w:pPr>
        <w:ind w:left="780"/>
      </w:pPr>
      <w:r>
        <w:t xml:space="preserve">b) Bruttogewicht nach Güter- und Ladungsart,</w:t>
      </w:r>
    </w:p>
    <w:p>
      <w:pPr>
        <w:ind w:left="780"/>
      </w:pPr>
      <w:r>
        <w:t xml:space="preserve">c) Zahl und Beladungszustand nach Größe der Container und Art der RoRo-Einheiten und</w:t>
      </w:r>
    </w:p>
    <w:p>
      <w:pPr>
        <w:ind w:left="780"/>
      </w:pPr>
      <w:r>
        <w:t xml:space="preserve">d) in der Binnenschifffahrt bei Gefahrgütern die UN-Nummer oder Stoffnummer;</w:t>
      </w:r>
    </w:p>
    <w:p>
      <w:pPr>
        <w:ind w:left="420"/>
      </w:pPr>
      <w:r>
        <w:t xml:space="preserve">4. für die in der Seeschifffahrt beförderten Personen:Zahl nach Zu- und Ausstiegshafen.</w:t>
      </w:r>
    </w:p>
    <w:p>
      <w:r>
        <w:rPr>
          <w:color w:val="555555"/>
          <w:sz w:val="17"/>
        </w:rPr>
        <w:t xml:space="preserve">Zitiervorschlag: § 3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