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VerkStatG — Auskunftspflicht</w:t>
      </w:r>
    </w:p>
    <w:p>
      <w:r>
        <w:rPr>
          <w:color w:val="555555"/>
          <w:sz w:val="18"/>
        </w:rPr>
        <w:t xml:space="preserve">Verkehrsstatistikgesetz</w:t>
      </w:r>
    </w:p>
    <w:p>
      <w:r>
        <w:rPr>
          <w:color w:val="555555"/>
          <w:sz w:val="18"/>
        </w:rPr>
        <w:t xml:space="preserve">Stand: 19.08.2023 (konsolidierte Textfassung, kein amtliches Inkrafttretensdatum)</w:t>
      </w:r>
    </w:p>
    <w:p>
      <w:r>
        <w:t xml:space="preserve">(1) Für die Erhebungen nach § 1 besteht hinsichtlich der Erhebungs- und Hilfsmerkmale nach den §§ 3, 4, 7, 8, 12, 13, 17 bis 22 und 25 Auskunftspflicht. Die Angaben zu § 25 Nr. 1 sind freiwillig.</w:t>
      </w:r>
    </w:p>
    <w:p>
      <w:r>
        <w:t xml:space="preserve">(2) Auskunftspflichtig sind:</w:t>
      </w:r>
    </w:p>
    <w:p>
      <w:pPr>
        <w:ind w:left="420"/>
      </w:pPr>
      <w:r>
        <w:t xml:space="preserve">1. für die Erhebung nach § 1 Nr. 1 die Frachtführer, Verfrachter, Schiffsführer, für die Angaben zu § 3 Nr. 3 auch die Absender und Empfänger oder jeweils deren örtlich bevollmächtigter Vertreter,</w:t>
      </w:r>
    </w:p>
    <w:p>
      <w:pPr>
        <w:ind w:left="420"/>
      </w:pPr>
      <w:r>
        <w:t xml:space="preserve">2. für die Erhebungen nach § 1 Nr. 2, 4 und 6 die Inhaberinnen oder Inhaber oder die für die Leitung beziehungsweise die für die Geschäftsführung verantwortlichen Personen der Unternehmen,</w:t>
      </w:r>
    </w:p>
    <w:p>
      <w:pPr>
        <w:ind w:left="420"/>
      </w:pPr>
      <w:r>
        <w:t xml:space="preserve">3. für die Erhebung nach § 1 Nr. 3 der Fahrzeughalter oder unmittelbare Fahrzeugbesitzer; der Fahrzeughalter und mittelbare Fahrzeugbesitzer im Sinne des § 868 des Bürgerlichen Gesetzbuchs sind verpflichtet, Namen, Anschrift, Rufnummer, sonstige Kennungen von Telekommunikationsanschlüssen des unmittelbaren Fahrzeugbesitzers anzugeben,</w:t>
      </w:r>
    </w:p>
    <w:p>
      <w:pPr>
        <w:ind w:left="420"/>
      </w:pPr>
      <w:r>
        <w:t xml:space="preserve">4. für die Erhebung nach § 1 Nr. 5</w:t>
      </w:r>
    </w:p>
    <w:p>
      <w:pPr>
        <w:ind w:left="780"/>
      </w:pPr>
      <w:r>
        <w:t xml:space="preserve">a) die in- und ausländischen Luftverkehrsunternehmen, die auf deutschen Flugplätzen landen oder starten, oder jeweils deren bevollmächtigte örtliche Vertreter,</w:t>
      </w:r>
    </w:p>
    <w:p>
      <w:pPr>
        <w:ind w:left="780"/>
      </w:pPr>
      <w:r>
        <w:t xml:space="preserve">b) die Führer der Luftfahrzeuge, wenn Luftfahrtunternehmen nicht bestehen oder diese auf dem Flugplatz keine ständige Vertretung unterhalten,</w:t>
      </w:r>
    </w:p>
    <w:p>
      <w:pPr>
        <w:ind w:left="420"/>
      </w:pPr>
      <w:r>
        <w:t xml:space="preserve">5. für die Erhebungen nach § 1 Nr. 7 und 8 die Inhaberinnen oder Inhaber oder die für die Leitung beziehungsweise die für die Geschäftsführung verantwortlichen Personen der Unternehmen, die als Betriebsführer oder beauftragte Beförderer öffentliche Personenbeförderung mit Eisenbahnen, Straßenbahnen oder Omnibussen durchführen,</w:t>
      </w:r>
    </w:p>
    <w:p>
      <w:pPr>
        <w:ind w:left="420"/>
      </w:pPr>
      <w:r>
        <w:t xml:space="preserve">6. für die Erhebung nach § 1 Nr. 9 die Inhaberinnen oder Inhaber oder die für die Leitung beziehungsweise die für die Geschäftsführung verantwortlichen Personen der Unternehmen, die als Frachtführer oder als ausführendes Schienenverkehrsunternehmen Güterverkehr auf dem inländischen Schienennetz des öffentlichen Verkehrs durchführen,</w:t>
      </w:r>
    </w:p>
    <w:p>
      <w:pPr>
        <w:ind w:left="420"/>
      </w:pPr>
      <w:r>
        <w:t xml:space="preserve">7. für die Erhebung nach § 1 Nr. 10 die Inhaberinnen oder Inhaber oder die für die Leitung beziehungsweise die für die Geschäftsführung verantwortlichen Personen der Unternehmen, die Schieneninfrastruktur des öffentlichen Verkehrs im Inland betreiben,</w:t>
      </w:r>
    </w:p>
    <w:p>
      <w:pPr>
        <w:ind w:left="420"/>
      </w:pPr>
      <w:r>
        <w:t xml:space="preserve">8. für die Erhebung nach § 1 Nr. 11</w:t>
      </w:r>
    </w:p>
    <w:p>
      <w:pPr>
        <w:ind w:left="780"/>
      </w:pPr>
      <w:r>
        <w:t xml:space="preserve">a) die Inhaberinnen oder Inhaber oder die für die Leitung beziehungsweise die für die Geschäftsführung verantwortlichen Personen der Unternehmen, die Schieneninfrastruktur des öffentlichen Verkehrs im Inland betreiben,</w:t>
      </w:r>
    </w:p>
    <w:p>
      <w:pPr>
        <w:ind w:left="780"/>
      </w:pPr>
      <w:r>
        <w:t xml:space="preserve">b) für das Erhebungsmerkmal Zahl der Verunglückten mit Todesfolge (Getötete) die Inhaberinnen oder Inhaber oder die für die Leitung beziehungsweise die für die Geschäftsführung verantwortlichen Personen der Unternehmen, die als Betriebsführer oder beauftragte Beförderer öffentliche Personenbeförderung mit Eisenbahnen oder Straßenbahnen beziehungsweise als Frachtführer oder als ausführendes Schienenverkehrsunternehmen Güterverkehr auf dem inländischen Schienennetz des öffentlichen Verkehrs durchführen; die Auskunftspflicht ist erfüllt, wenn sie die Angaben an die Unternehmen weitergeleitet haben, die Schieneninfrastruktur des öffentlichen Verkehrs im Inland betreiben,</w:t>
      </w:r>
    </w:p>
    <w:p>
      <w:pPr>
        <w:ind w:left="420"/>
      </w:pPr>
      <w:r>
        <w:t xml:space="preserve">9. für die Erhebung nach § 1 Nr. 12 die Inhaberinnen oder Inhaber oder die für die Leitung beziehungsweise die für die Geschäftsführung verantwortlichen Personen der Unternehmen, die Schieneninfrastruktur der öffentlichen Eisenbahnen im Inland betreiben.</w:t>
      </w:r>
    </w:p>
    <w:p>
      <w:r>
        <w:t xml:space="preserve">Werden inländische Verkehre von Unternehmen durchgeführt, die ihren Sitz im Ausland haben, so sind für die Erhebungen nach § 1 Nr. 7, 8, 9 und 11 die für die Abwicklung der Verkehre im Inland verantwortlichen Personen auskunftspflichtig.</w:t>
      </w:r>
    </w:p>
    <w:p>
      <w:r>
        <w:t xml:space="preserve">(3) Die natürlichen Personen und juristischen Personen des öffentlichen und privaten Rechts, welche die Häfen und Flugplätze verwalten, sowie für den Bereich des Durchgangsverkehrs in der Binnenschifffahrt die Grenzzollstellen und die Wasserstraßen- und Schifffahrtsverwaltung des Bundes sind verpflichtet,</w:t>
      </w:r>
    </w:p>
    <w:p>
      <w:pPr>
        <w:ind w:left="420"/>
      </w:pPr>
      <w:r>
        <w:t xml:space="preserve">1. die Auskunftspflichtigen auf die Auskunftspflicht für die Erhebungen nach § 1 Nr. 1 und 5 hinzuweisen,</w:t>
      </w:r>
    </w:p>
    <w:p>
      <w:pPr>
        <w:ind w:left="420"/>
      </w:pPr>
      <w:r>
        <w:t xml:space="preserve">2. ihnen die Erhebungsunterlagen zur Verfügung zu stellen,</w:t>
      </w:r>
    </w:p>
    <w:p>
      <w:pPr>
        <w:ind w:left="420"/>
      </w:pPr>
      <w:r>
        <w:t xml:space="preserve">3. ihnen anzubieten, ihre Angaben an die statistischen Ämter der Länder und an das Statistische Bundesamt jeweils für deren Zuständigkeitsbereich zu übermitteln.</w:t>
      </w:r>
    </w:p>
    <w:p>
      <w:r>
        <w:t xml:space="preserve">Sind die Auskunftspflichtigen für die in Satz 1 genannten Stellen nicht oder nur mit einem unverhältnismäßig großen Aufwand erreichbar, so können die statistischen Ämter der Länder und das Statistische Bundesamt die Betreiber der in den Häfen vorhandenen Umschlagseinrichtungen oder der Einrichtungen zur Personenabfertigung sowie die Betreiber der auf den Flugplätzen vorhandenen Einrichtungen zur Personen- oder Güterabfertigung zu den in Satz 1 genannten Aufgaben verpflichten. Die in den Sätzen 1 und 2 genannten Stellen können von den dort genannten Pflichten entbunden werden, falls das jeweils für die Erhebung zuständige statistische Amt mit den Auskunftspflichtigen eine Sonderregelung über die Datenübermittlung vereinbart hat.</w:t>
      </w:r>
    </w:p>
    <w:p>
      <w:r>
        <w:t xml:space="preserve">(4) (weggefallen)</w:t>
      </w:r>
    </w:p>
    <w:p>
      <w:r>
        <w:rPr>
          <w:color w:val="555555"/>
          <w:sz w:val="17"/>
        </w:rPr>
        <w:t xml:space="preserve">Zitiervorschlag: § 26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