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VerkStatG — Anschriftenübermittlung</w:t>
      </w:r>
    </w:p>
    <w:p>
      <w:r>
        <w:rPr>
          <w:color w:val="555555"/>
          <w:sz w:val="18"/>
        </w:rPr>
        <w:t xml:space="preserve">Verkehrsstatistikgesetz</w:t>
      </w:r>
    </w:p>
    <w:p>
      <w:r>
        <w:rPr>
          <w:color w:val="555555"/>
          <w:sz w:val="18"/>
        </w:rPr>
        <w:t xml:space="preserve">Stand: 10.06.2019 (konsolidierte Textfassung, kein amtliches Inkrafttretensdatum)</w:t>
      </w:r>
    </w:p>
    <w:p>
      <w:r>
        <w:t xml:space="preserve">(1) Die Genehmigungsbehörden nach § 11 des Personenbeförderungsgesetzes und die für die Eisenbahnen des Bundes und für die übrigen Eisenbahnunternehmen zuständigen Genehmigungsbehörden des Bundes und der Länder übermitteln den statistischen Ämtern der Länder und dem Statistischen Bundesamt jeweils für deren Zuständigkeitsbereich für die Durchführung der Erhebungen nach § 1 Nr. 7 bis 12 Namen und Anschriften der Unternehmen, denen eine Genehmigung zur Personenbeförderung mit Eisenbahnen, Straßenbahnen oder Omnibussen oder zum Schienen-Güterverkehr erteilt oder entzogen oder denen die Betriebsführung übertragen worden ist oder denen eine Genehmigung für den Betrieb einer Schieneninfrastruktur des öffentlichen Verkehrs erteilt oder entzogen worden ist, sowie die Art der Genehmigung und den Termin des Ablaufs einer befristeten Genehmigung.</w:t>
      </w:r>
    </w:p>
    <w:p>
      <w:r>
        <w:t xml:space="preserve">(2) Die Schieneninfrastruktur des öffentlichen Verkehrs im Inland betreibenden Unternehmen übermitteln den statistischen Ämtern der Länder und dem Statistischen Bundesamt jeweils für deren Zuständigkeitsbereich für die Durchführung der Erhebungen nach § 1 Nr. 7 bis 12 Namen und Anschriften der Unternehmen, die auf dem öffentlichen Schienennetz der Schieneninfrastrukturbetreiber Personenverkehr mit Eisenbahnen oder Straßenbahnen oder Schienen-Güterverkehr durchführen; von den Unternehmen mit Sitz im Ausland übermitteln sie Namen und Anschriften der die Verkehre durchführenden inländischen Betriebe dieser Unternehmen.</w:t>
      </w:r>
    </w:p>
    <w:p>
      <w:r>
        <w:rPr>
          <w:color w:val="555555"/>
          <w:sz w:val="17"/>
        </w:rPr>
        <w:t xml:space="preserve">Zitiervorschlag: § 24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