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VerkStatG — Schienenverkehrsunfallstatistik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19.08.2023 (konsolidierte Textfassung, kein amtliches Inkrafttretensdatum)</w:t>
      </w:r>
    </w:p>
    <w:p>
      <w:r>
        <w:t xml:space="preserve">Die Erhebung nach § 1 Nr. 11 in Verbindung mit § 16 Absatz 5 erfasst jährlich für Verkehrsunfälle auf Schienenstrecken des öffentlichen Verkehrs, an denen mindestens ein bewegtes - beim Zusammenprall auch haltendes - Schienenfahrzeug im Fahrbetrieb beteiligt war, folgende Erhebungsmerkmale:</w:t>
      </w:r>
    </w:p>
    <w:p>
      <w:pPr>
        <w:ind w:left="420"/>
      </w:pPr>
      <w:r>
        <w:t xml:space="preserve">1. Zahl der Unfälle mit Personen- oder Sachschaden und Zahl der Verunglückten nach Art des Schienenverkehrsmittels und nach der Unfallart; Zahl der Verunglückten auch nach der Verletzungsschwere und mit Todesfolge (Getötete), nach dem Personenkreis und nach der Art der Verkehrsbeteiligung,</w:t>
      </w:r>
    </w:p>
    <w:p>
      <w:pPr>
        <w:ind w:left="420"/>
      </w:pPr>
      <w:r>
        <w:t xml:space="preserve">2. Zahl der Unfälle beim Transport gefährlicher Güter nach Unfällen mit Personen- oder Sachschaden; Zahl der Unfälle mit Gefahrgutaustritt auch nach der Unfallart.</w:t>
      </w:r>
    </w:p>
    <w:p>
      <w:r>
        <w:t xml:space="preserve">Zusätzlich wird die Zahl der Unfälle erfasst, die durch Brand ausgelöst wurden (wie z. B. durch Selbstentzündung) und keine Verkehrsunfälle darstellen.</w:t>
      </w:r>
    </w:p>
    <w:p>
      <w:r>
        <w:rPr>
          <w:color w:val="555555"/>
          <w:sz w:val="17"/>
        </w:rPr>
        <w:t xml:space="preserve">Zitiervorschlag: § 21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