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VerkStatG — Schieneninfrastrukturstatistik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nach § 1 Nr. 10 in Verbindung mit § 16 Abs. 4 erfasst folgende Erhebungsmerkmale:</w:t>
      </w:r>
    </w:p>
    <w:p>
      <w:pPr>
        <w:ind w:left="420"/>
      </w:pPr>
      <w:r>
        <w:t xml:space="preserve">1. jährlich:Länge der im Berichtsjahr in Betrieb genommenen neu gebauten oder reaktivierten Strecken sowie der stillgelegten Strecken nach Art der Betriebsordnung, Gleise oder Spuren und nach Ländern;</w:t>
      </w:r>
    </w:p>
    <w:p>
      <w:pPr>
        <w:ind w:left="420"/>
      </w:pPr>
      <w:r>
        <w:t xml:space="preserve">2. fünfjährlich:</w:t>
      </w:r>
    </w:p>
    <w:p>
      <w:pPr>
        <w:ind w:left="780"/>
      </w:pPr>
      <w:r>
        <w:t xml:space="preserve">a) Zahl der Streckenübergänge nach Art der Übergänge und Ländern,</w:t>
      </w:r>
    </w:p>
    <w:p>
      <w:pPr>
        <w:ind w:left="780"/>
      </w:pPr>
      <w:r>
        <w:t xml:space="preserve">b) Zahl der Bahnhöfe, Haltestellen und Haltepunkte des Schienen-Personenverkehrs nach Art der Betriebsordnung der Strecken und Ländern,</w:t>
      </w:r>
    </w:p>
    <w:p>
      <w:pPr>
        <w:ind w:left="780"/>
      </w:pPr>
      <w:r>
        <w:t xml:space="preserve">c) Zahl der Bahnübergänge nach der Eisenbahn-Bau- und Betriebsordnung vom 8. Mai 1967 (BGBl. 1967 II S. 1563), zuletzt geändert durch Artikel 7 des Gesetzes vom 21. Juni 2002 (BGBl. I S. 2191), in der jeweils geltenden Fassung, nach Art der kreuzenden Straßen und Wege, Art der Sicherung, nach Ortslage und Ländern,</w:t>
      </w:r>
    </w:p>
    <w:p>
      <w:pPr>
        <w:ind w:left="780"/>
      </w:pPr>
      <w:r>
        <w:t xml:space="preserve">d) Länge des Streckenbestandes nach der Spurbreite, Art des Bahnkörpers, zulässiger Geschwindigkeit des Zugverkehrs und Art der verkehrlichen Nutzung,</w:t>
      </w:r>
    </w:p>
    <w:p>
      <w:pPr>
        <w:ind w:left="780"/>
      </w:pPr>
      <w:r>
        <w:t xml:space="preserve">e) Länge des Strecken-, Gleis- und Spurbestandes nach Art der Betriebsordnung, Elektrifizierung, Gleise und Spuren und nach Ländern.</w:t>
      </w:r>
    </w:p>
    <w:p>
      <w:r>
        <w:t xml:space="preserve">Die Erhebungsmerkmale werden nach dem Stand vom 31. Dezember des Berichtsjahres erfasst.</w:t>
      </w:r>
    </w:p>
    <w:p>
      <w:r>
        <w:rPr>
          <w:color w:val="555555"/>
          <w:sz w:val="17"/>
        </w:rPr>
        <w:t xml:space="preserve">Zitiervorschlag: § 20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