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VerkStatG — Erhebungsbereich</w:t>
      </w:r>
    </w:p>
    <w:p>
      <w:r>
        <w:rPr>
          <w:color w:val="555555"/>
          <w:sz w:val="18"/>
        </w:rPr>
        <w:t xml:space="preserve">Verkehrsstatistikgesetz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 nach § 1 Nr. 1 erfasst, sofern Satz 2 nichts anderes bestimmt, alle Binnen- oder Seeschiffe zur gewerbsmäßigen Güterbeförderung sowie alle Seeschiffe zur gewerbsmäßigen Personenbeförderung, die</w:t>
      </w:r>
    </w:p>
    <w:p>
      <w:pPr>
        <w:ind w:left="420"/>
      </w:pPr>
      <w:r>
        <w:t xml:space="preserve">1. in Küsten- und Binnenhäfen innerhalb des Geltungsbereichs dieses Gesetzes ankommen und abgehen oder</w:t>
      </w:r>
    </w:p>
    <w:p>
      <w:pPr>
        <w:ind w:left="420"/>
      </w:pPr>
      <w:r>
        <w:t xml:space="preserve">2. Binnenschifffahrtsstraßen im Geltungsbereich dieses Gesetzes benutzen und keinen Hafen im Geltungsbereich dieses Gesetzes anlaufen (Durchgangsverkehr).</w:t>
      </w:r>
    </w:p>
    <w:p>
      <w:r>
        <w:t xml:space="preserve">Ausgenommen sind Schiffe in der Seeschifffahrt mit einer Bruttoraumzahl von weniger als 100 und Schiffe in der Binnenschifffahrt mit einer Tragfähigkeit von weniger als 50 Tonnen.</w:t>
      </w:r>
    </w:p>
    <w:p>
      <w:r>
        <w:t xml:space="preserve">(2) Die Erhebung nach § 1 Nr. 2 erfasst alle Unternehmen, die Binnenschifffahrt betreiben, mit Ausnahme derjenigen Unternehmen, die in der Binnenschifffahrt ausschließlich Fähr- und Hafenverkehr betreiben.</w:t>
      </w:r>
    </w:p>
    <w:p>
      <w:r>
        <w:rPr>
          <w:color w:val="555555"/>
          <w:sz w:val="17"/>
        </w:rPr>
        <w:t xml:space="preserve">Zitiervorschlag: § 2 VerkStatG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https://recht.nulegal.eu/gesetze/VerkStatG/2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