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VerkStatG — Schienen-Güterverkehrsstatistik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Erhebung nach § 1 Nr. 9 in Verbindung mit § 16 Abs. 3 Nr. 1 erfasst folgende Erhebungsmerkmale:</w:t>
      </w:r>
    </w:p>
    <w:p>
      <w:pPr>
        <w:ind w:left="420"/>
      </w:pPr>
      <w:r>
        <w:t xml:space="preserve">1. monatlich:</w:t>
      </w:r>
    </w:p>
    <w:p>
      <w:pPr>
        <w:ind w:left="780"/>
      </w:pPr>
      <w:r>
        <w:t xml:space="preserve">a) beförderte Güter (ohne kombinierten Verkehr) nach Menge, Beförderungsleistung, Güterart und Stelle der Be- und Entladung,</w:t>
      </w:r>
    </w:p>
    <w:p>
      <w:pPr>
        <w:ind w:left="780"/>
      </w:pPr>
      <w:r>
        <w:t xml:space="preserve">b) beförderte Güter im kombinierten Verkehr nach Menge, Beförderungsleistung, Art der Ladeeinheit und Stelle der Be- und Entladung,</w:t>
      </w:r>
    </w:p>
    <w:p>
      <w:pPr>
        <w:ind w:left="780"/>
      </w:pPr>
      <w:r>
        <w:t xml:space="preserve">c) beförderte Ladeeinheiten des kombinierten Verkehrs nach Anzahl, Art, Ladezustand sowie Stelle der Be- und Entladung;</w:t>
      </w:r>
    </w:p>
    <w:p>
      <w:pPr>
        <w:ind w:left="420"/>
      </w:pPr>
      <w:r>
        <w:t xml:space="preserve">2. jährlich:</w:t>
      </w:r>
    </w:p>
    <w:p>
      <w:pPr>
        <w:ind w:left="780"/>
      </w:pPr>
      <w:r>
        <w:t xml:space="preserve">a) beförderte Güter nach Menge, Beförderungsleistung und Art der Beförderung (Ganzzug, Waggonladung),</w:t>
      </w:r>
    </w:p>
    <w:p>
      <w:pPr>
        <w:ind w:left="780"/>
      </w:pPr>
      <w:r>
        <w:t xml:space="preserve">b) beförderte Gefahrgüter nach Menge, Beförderungsleistung, Gefahrgutklassen und Hauptverkehrsverbindungen,</w:t>
      </w:r>
    </w:p>
    <w:p>
      <w:pPr>
        <w:ind w:left="780"/>
      </w:pPr>
      <w:r>
        <w:t xml:space="preserve">c) Fahrleistung in Zugkilometern,</w:t>
      </w:r>
    </w:p>
    <w:p>
      <w:pPr>
        <w:ind w:left="780"/>
      </w:pPr>
      <w:r>
        <w:t xml:space="preserve">d) Land des Unternehmenssitzes und Eigentumsverhältnisse am Unternehmen.</w:t>
      </w:r>
    </w:p>
    <w:p>
      <w:r>
        <w:t xml:space="preserve">(2) Die Erhebung nach § 1 Nr. 9 in Verbindung mit § 16 Abs. 3 Nr. 2 erfasst jährlich folgende Erhebungsmerkmale:</w:t>
      </w:r>
    </w:p>
    <w:p>
      <w:pPr>
        <w:ind w:left="420"/>
      </w:pPr>
      <w:r>
        <w:t xml:space="preserve">1. beförderte Güter ohne kombinierten Verkehr und im kombinierten Verkehr jeweils nach Menge, Beförderungsleistung und Hauptverkehrsverbindungen,</w:t>
      </w:r>
    </w:p>
    <w:p>
      <w:pPr>
        <w:ind w:left="420"/>
      </w:pPr>
      <w:r>
        <w:t xml:space="preserve">2. Land des Unternehmenssitzes und Eigentumsverhältnisse am Unternehmen.</w:t>
      </w:r>
    </w:p>
    <w:p>
      <w:r>
        <w:t xml:space="preserve">(3) Die Erhebung nach § 1 Nr. 9 in Verbindung mit § 16 Abs. 3 Nr. 1 und 2 erfasst fünfjährlich folgende Erhebungsmerkmale:</w:t>
      </w:r>
    </w:p>
    <w:p>
      <w:pPr>
        <w:ind w:left="420"/>
      </w:pPr>
      <w:r>
        <w:t xml:space="preserve">1. Zahl und Ladekapazität der Fahrzeuge nach Art der Fahrzeuge,</w:t>
      </w:r>
    </w:p>
    <w:p>
      <w:pPr>
        <w:ind w:left="420"/>
      </w:pPr>
      <w:r>
        <w:t xml:space="preserve">2. Zahl der Beschäftigten nach Einsatzart.</w:t>
      </w:r>
    </w:p>
    <w:p>
      <w:r>
        <w:t xml:space="preserve">(4) Die Erhebungsmerkmale nach Absatz 1 Nr. 2 Buchstabe d, Absatz 2 Nr. 2 und Absatz 3 werden nach dem Stand vom 31. Dezember des Berichtsjahres erfasst.</w:t>
      </w:r>
    </w:p>
    <w:p>
      <w:r>
        <w:rPr>
          <w:color w:val="555555"/>
          <w:sz w:val="17"/>
        </w:rPr>
        <w:t xml:space="preserve">Zitiervorschlag: § 19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