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VerkStatG — Schienen-Personenfernverkehrsstatistik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8 in Verbindung mit § 16 Abs. 2 erfasst folgende Erhebungsmerkmale:</w:t>
      </w:r>
    </w:p>
    <w:p>
      <w:pPr>
        <w:ind w:left="420"/>
      </w:pPr>
      <w:r>
        <w:t xml:space="preserve">1. vierteljährlich:Zahl der Fahrgäste und Beförderungsleistung;</w:t>
      </w:r>
    </w:p>
    <w:p>
      <w:pPr>
        <w:ind w:left="420"/>
      </w:pPr>
      <w:r>
        <w:t xml:space="preserve">2. jährlich:</w:t>
      </w:r>
    </w:p>
    <w:p>
      <w:pPr>
        <w:ind w:left="780"/>
      </w:pPr>
      <w:r>
        <w:t xml:space="preserve">a) Land des Unternehmenssitzes und Eigentumsverhältnisse am Unternehmen,</w:t>
      </w:r>
    </w:p>
    <w:p>
      <w:pPr>
        <w:ind w:left="780"/>
      </w:pPr>
      <w:r>
        <w:t xml:space="preserve">b) Zahl der Fahrgäste und Beförderungsleistung nach Hauptverkehrsverbindungen, Fahrleistung in Zugkilometern und Beförderungsangebot nach In- und Ausland,</w:t>
      </w:r>
    </w:p>
    <w:p>
      <w:pPr>
        <w:ind w:left="780"/>
      </w:pPr>
      <w:r>
        <w:t xml:space="preserve">c) Zahl der Fahrgäste im internationalen Verkehr nach dem Staat des Einstiegs und dem Staat des Ausstiegs;</w:t>
      </w:r>
    </w:p>
    <w:p>
      <w:pPr>
        <w:ind w:left="420"/>
      </w:pPr>
      <w:r>
        <w:t xml:space="preserve">3. fünfjährlich:</w:t>
      </w:r>
    </w:p>
    <w:p>
      <w:pPr>
        <w:ind w:left="780"/>
      </w:pPr>
      <w:r>
        <w:t xml:space="preserve">a) Zahl und Platzkapazität der Schienenfahrzeuge nach Art der Fahrzeuge,</w:t>
      </w:r>
    </w:p>
    <w:p>
      <w:pPr>
        <w:ind w:left="780"/>
      </w:pPr>
      <w:r>
        <w:t xml:space="preserve">b) Zahl der Beschäftigten nach Einsatzart,</w:t>
      </w:r>
    </w:p>
    <w:p>
      <w:pPr>
        <w:ind w:left="780"/>
      </w:pPr>
      <w:r>
        <w:t xml:space="preserve">c) Zahl der Fahrgäste nach Ein- und Aussteigeregion nach der NUTS-2-Regionalgliederung von Anhang I der Verordnung (EG) Nr. 1059/2003 des Europäischen Parlaments und des Rates vom 26. Mai 2003 über die Schaffung einer gemeinsamen Klassifikation der Gebietseinheiten für die Statistik (NUTS) (ABl. EU Nr. L 154 S. 1) in der jeweils geltenden Fassung.</w:t>
      </w:r>
    </w:p>
    <w:p>
      <w:r>
        <w:t xml:space="preserve">(2) Die Erhebungsmerkmale nach Absatz 1 Nr. 2 Buchstabe a sowie Nr. 3 Buchstabe a und b werden nach dem Stand vom 31. Dezember des Berichtsjahres erfasst.</w:t>
      </w:r>
    </w:p>
    <w:p>
      <w:r>
        <w:rPr>
          <w:color w:val="555555"/>
          <w:sz w:val="17"/>
        </w:rPr>
        <w:t xml:space="preserve">Zitiervorschlag: § 18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