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VerkStatG — Erhebungsbereich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19.08.2023 (konsolidierte Textfassung, kein amtliches Inkrafttretensdatum)</w:t>
      </w:r>
    </w:p>
    <w:p>
      <w:r>
        <w:t xml:space="preserve">(1) Die Erhebung nach § 1 Nr. 7 wird durchgeführt bei Unternehmen, die als Betriebsführer oder beauftragte Beförderer öffentlichen Personennahverkehr mit Eisenbahnen oder Straßenbahnen (Schienennahverkehr) oder Personennah- oder Personenfernverkehr mit Omnibussen betreiben, und zwar bei</w:t>
      </w:r>
    </w:p>
    <w:p>
      <w:pPr>
        <w:ind w:left="420"/>
      </w:pPr>
      <w:r>
        <w:t xml:space="preserve">1. Unternehmen, die mindestens 250.000 Fahrgäste im Jahr befördert haben, sowie allen Unternehmen mit gewerblichem Schienennahverkehr nach § 17 Abs. 1,</w:t>
      </w:r>
    </w:p>
    <w:p>
      <w:pPr>
        <w:ind w:left="420"/>
      </w:pPr>
      <w:r>
        <w:t xml:space="preserve">2. höchstens 2.500 Unternehmen, die weniger als 250.000 Fahrgäste im Jahr befördert haben, nach § 17 Abs. 2,</w:t>
      </w:r>
    </w:p>
    <w:p>
      <w:pPr>
        <w:ind w:left="420"/>
      </w:pPr>
      <w:r>
        <w:t xml:space="preserve">3. allen Unternehmen nach § 17 Abs. 3.</w:t>
      </w:r>
    </w:p>
    <w:p>
      <w:r>
        <w:t xml:space="preserve">Ausgenommen von der Erhebung sind Unternehmen, die ausschließlich freigestellten Schülerverkehr gemäß § 1 Satz 1 Nummer 4 Buchstabe d der Freistellungs-Verordnung betreiben. Für Unternehmen, die ausschließlich Omnibusverkehr betreiben und die nach einer Erhebung gemäß § 17 Absatz 3 neugegründet werden, wird das Erreichen der Schwellenwerte gemäß Satz 1 Nummer 1 und 2 durch eine Vorbefragung ermittelt. Ob die Schwellenwerte nach Satz 1 Nr. 1 und 2 erreicht sind, beurteilt sich nach den Ergebnissen der Erhebung nach Satz 1 Nr. 3.</w:t>
      </w:r>
    </w:p>
    <w:p>
      <w:r>
        <w:t xml:space="preserve">(2) Die Erhebung nach § 1 Nr. 8 wird durchgeführt bei Unternehmen, die Schienen-Personenfernverkehr betreiben.</w:t>
      </w:r>
    </w:p>
    <w:p>
      <w:r>
        <w:t xml:space="preserve">(3) Die Erhebung nach § 1 Nr. 9 wird durchgeführt bei Unternehmen, die Güterverkehr auf dem inländischen Schienennetz des öffentlichen Verkehrs betreiben, und zwar bei</w:t>
      </w:r>
    </w:p>
    <w:p>
      <w:pPr>
        <w:ind w:left="420"/>
      </w:pPr>
      <w:r>
        <w:t xml:space="preserve">1. Unternehmen, die im Vorjahr eine Beförderungsleistung von mindestens 10 Millionen Tonnenkilometer insgesamt oder 1 Million Tonnenkilometer im kombinierten Verkehr erbracht haben, nach § 19 Abs. 1 und 3,</w:t>
      </w:r>
    </w:p>
    <w:p>
      <w:pPr>
        <w:ind w:left="420"/>
      </w:pPr>
      <w:r>
        <w:t xml:space="preserve">2. Unternehmen, die im Vorjahr eine Beförderungsleistung von weniger als 10 Millionen Tonnenkilometer insgesamt oder 1 Million Tonnenkilometer im kombinierten Verkehr erbracht haben, nach § 19 Abs. 2 und 3.</w:t>
      </w:r>
    </w:p>
    <w:p>
      <w:r>
        <w:t xml:space="preserve">(4) Die Erhebung nach § 1 Nummer 10 wird durchgeführt bei Unternehmen, die Schienenstrecken des öffentlichen Verkehrs betreiben.</w:t>
      </w:r>
    </w:p>
    <w:p>
      <w:r>
        <w:t xml:space="preserve">(5) Die Erhebung nach § 1 Nummer 11 wird durchgeführt bei Unternehmen, die Schienenstrecken des öffentlichen Verkehrs betreiben, soweit sie vom Geltungsbereich der Richtlinie (EU) 2016/798 des Europäischen Parlaments und des Rates vom 11. Mai 2016 über Eisenbahnsicherheit (ABl. L 138 vom 26.5.2016, S. 102; L 59 vom 7.3.2017, S. 41; L 110 vom 30.4.2018, S. 141; L 317 vom 9.12.2019, S. 114), die zuletzt durch die Verordnung (EU) 2020/1530 des Europäischen Parlaments und des Rates vom 21. Oktober 2020 zur Änderung der Richtlinie (EU) 2016/798 hinsichtlich der Anwendung von Vorschriften für die Eisenbahnsicherheit und -interoperabilität in der festen Ärmelkanal-Verbindung (ABl. L 352 vom 22.10.2020, S. 1) geändert worden ist, ausgenommen sind.</w:t>
      </w:r>
    </w:p>
    <w:p>
      <w:r>
        <w:t xml:space="preserve">(6) Die Erhebung nach § 1 Nr. 12 wird durchgeführt bei Unternehmen, die Eisenbahnstrecken des öffentlichen Verkehrs betreiben.</w:t>
      </w:r>
    </w:p>
    <w:p>
      <w:r>
        <w:rPr>
          <w:color w:val="555555"/>
          <w:sz w:val="17"/>
        </w:rPr>
        <w:t xml:space="preserve">Zitiervorschlag: § 16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