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VerkStatG — Anschriftenübermittlung</w:t>
      </w:r>
    </w:p>
    <w:p>
      <w:r>
        <w:rPr>
          <w:color w:val="555555"/>
          <w:sz w:val="18"/>
        </w:rPr>
        <w:t xml:space="preserve">Verkehrsstatistikgesetz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Durchführung der Erhebung nach § 1 Nr. 6 übermitteln das Luftfahrt-Bundesamt und die auf Landesebene zuständigen Behörden auf Anforderung dem Statistischen Bundesamt Namen und Anschriften von Luftverkehr betreibenden Unternehmen.</w:t>
      </w:r>
    </w:p>
    <w:p>
      <w:r>
        <w:rPr>
          <w:color w:val="555555"/>
          <w:sz w:val="17"/>
        </w:rPr>
        <w:t xml:space="preserve">Zitiervorschlag: § 15 VerkStatG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https://recht.nulegal.eu/gesetze/VerkStatG/15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