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VerkStatG — Berichtszeitraum</w:t>
      </w:r>
    </w:p>
    <w:p>
      <w:r>
        <w:rPr>
          <w:color w:val="555555"/>
          <w:sz w:val="18"/>
        </w:rPr>
        <w:t xml:space="preserve">Verkehrsstatistikgesetz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Berichtsjahr für die jährlichen Erhebungen nach § 1 Nr. 5 und 6 ist das dem Zeitpunkt der Erhebung vorangegangene Kalenderjahr oder das im vorangegangenen Kalenderjahr abgelaufene Geschäftsjahr.</w:t>
      </w:r>
    </w:p>
    <w:p>
      <w:r>
        <w:rPr>
          <w:color w:val="555555"/>
          <w:sz w:val="17"/>
        </w:rPr>
        <w:t xml:space="preserve">Zitiervorschlag: § 14 VerkStatG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https://recht.nulegal.eu/gesetze/VerkStatG/14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