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VerkStatG — Erhebungsbereich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5 erfasst den gewerblichen und nichtgewerblichen Luftverkehr auf Flugplätzen.</w:t>
      </w:r>
    </w:p>
    <w:p>
      <w:r>
        <w:t xml:space="preserve">(2) Die Erhebung nach § 1 Nr. 6 erfasst alle Unternehmen, die gewerbsmäßig Luftverkehr zur Güter- und Personenbeförderung betreiben.</w:t>
      </w:r>
    </w:p>
    <w:p>
      <w:r>
        <w:rPr>
          <w:color w:val="555555"/>
          <w:sz w:val="17"/>
        </w:rPr>
        <w:t xml:space="preserve">Zitiervorschlag: § 11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