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VerkStatG — Vernichtung von Erhebungsunterlagen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Jeweils spätestens drei Monate nach Veröffentlichung eines Beförderungsmonats sind beim Kraftfahrt-Bundesamt die Erhebungsunterlagen zur Erhebung nach § 1 Nr. 3 zu vernichten.</w:t>
      </w:r>
    </w:p>
    <w:p>
      <w:r>
        <w:t xml:space="preserve">(2) Jeweils spätestens ein Jahr nach dem Erhebungsstichtag sind beim Bundesamt für Logistik und Mobilität die Erhebungsunterlagen zur Erhebung nach § 1 Nr. 4 zu vernichten.</w:t>
      </w:r>
    </w:p>
    <w:p>
      <w:r>
        <w:rPr>
          <w:color w:val="555555"/>
          <w:sz w:val="17"/>
        </w:rPr>
        <w:t xml:space="preserve">Zitiervorschlag: § 10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