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VerkStatG — Anordnung als Bundesstatistik</w:t>
      </w:r>
    </w:p>
    <w:p>
      <w:r>
        <w:rPr>
          <w:color w:val="555555"/>
          <w:sz w:val="18"/>
        </w:rPr>
        <w:t xml:space="preserve">Verkehrsstatistikgesetz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Beurteilung der Struktur und der Entwicklung des See- und Binnenschiffsverkehrs, des Güterkraftverkehrs, des Luftverkehrs sowie des Schienenverkehrs und des gewerblichen Straßen-Personenverkehrs werden statistische Erhebungen über</w:t>
      </w:r>
    </w:p>
    <w:p>
      <w:pPr>
        <w:ind w:left="420"/>
      </w:pPr>
      <w:r>
        <w:t xml:space="preserve">1. den Schiffs-, Güter- und Personenverkehr in der Seeschifffahrt und den Schiffs- und Güterverkehr in der Binnenschifffahrt (Schifffahrtsstatistik),</w:t>
      </w:r>
    </w:p>
    <w:p>
      <w:pPr>
        <w:ind w:left="420"/>
      </w:pPr>
      <w:r>
        <w:t xml:space="preserve">2. die Unternehmen der Binnenschifffahrt (Unternehmensstatistik der Binnenschifffahrt),</w:t>
      </w:r>
    </w:p>
    <w:p>
      <w:pPr>
        <w:ind w:left="420"/>
      </w:pPr>
      <w:r>
        <w:t xml:space="preserve">3. den Güterkraftverkehr (Güterkraftverkehrsstatistik),</w:t>
      </w:r>
    </w:p>
    <w:p>
      <w:pPr>
        <w:ind w:left="420"/>
      </w:pPr>
      <w:r>
        <w:t xml:space="preserve">4. die Unternehmen des Güterkraftverkehrs (Unternehmensstatistik des Güterkraftverkehrs),</w:t>
      </w:r>
    </w:p>
    <w:p>
      <w:pPr>
        <w:ind w:left="420"/>
      </w:pPr>
      <w:r>
        <w:t xml:space="preserve">5. den Luftverkehr (Luftverkehrsstatistik),</w:t>
      </w:r>
    </w:p>
    <w:p>
      <w:pPr>
        <w:ind w:left="420"/>
      </w:pPr>
      <w:r>
        <w:t xml:space="preserve">6. die Unternehmen der Luftfahrt (Unternehmensstatistik der Luftfahrt),</w:t>
      </w:r>
    </w:p>
    <w:p>
      <w:pPr>
        <w:ind w:left="420"/>
      </w:pPr>
      <w:r>
        <w:t xml:space="preserve">7. den Personennahverkehr mit Eisenbahnen, Straßenbahnen und Omnibussen und den Personenfernverkehr mit Omnibussen (Personenverkehrsstatistik),</w:t>
      </w:r>
    </w:p>
    <w:p>
      <w:pPr>
        <w:ind w:left="420"/>
      </w:pPr>
      <w:r>
        <w:t xml:space="preserve">8. den Schienen-Personenfernverkehr (Schienen-Personenfernverkehrsstatistik),</w:t>
      </w:r>
    </w:p>
    <w:p>
      <w:pPr>
        <w:ind w:left="420"/>
      </w:pPr>
      <w:r>
        <w:t xml:space="preserve">9. den Schienen-Güterverkehr (Schienen-Güterverkehrsstatistik),</w:t>
      </w:r>
    </w:p>
    <w:p>
      <w:pPr>
        <w:ind w:left="420"/>
      </w:pPr>
      <w:r>
        <w:t xml:space="preserve">10. die Schieneninfrastruktur (Schieneninfrastrukturstatistik),</w:t>
      </w:r>
    </w:p>
    <w:p>
      <w:pPr>
        <w:ind w:left="420"/>
      </w:pPr>
      <w:r>
        <w:t xml:space="preserve">11. die Schienenverkehrsunfälle (Schienenverkehrsunfallstatistik),</w:t>
      </w:r>
    </w:p>
    <w:p>
      <w:pPr>
        <w:ind w:left="420"/>
      </w:pPr>
      <w:r>
        <w:t xml:space="preserve">12. die Verkehrsströme im Eisenbahnnetz</w:t>
      </w:r>
    </w:p>
    <w:p>
      <w:r>
        <w:t xml:space="preserve">als Bundesstatistik durchgeführt.</w:t>
      </w:r>
    </w:p>
    <w:p>
      <w:r>
        <w:rPr>
          <w:color w:val="555555"/>
          <w:sz w:val="17"/>
        </w:rPr>
        <w:t xml:space="preserve">Zitiervorschlag: § 1 VerkStatG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https://recht.nulegal.eu/gesetze/VerkStatG/1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