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VerkSiG — Leistungspflichtige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Eisenbahnen im Sinne des Allgemeinen Eisenbahngesetzes, öffentlich-rechtliche Träger von Bau- und Unterhaltungslasten an Straßen und schiffbaren Gewässern einschließlich Häfen, sonstige Eigentümer und Besitzer von Verkehrsmitteln, -anlagen und -einrichtungen sowie Führer von Verkehrsmitteln sind zu Leistungen nach den §§ 10 bis 14 für die in § 1 genannten Zwecke verpflichtet.</w:t>
      </w:r>
    </w:p>
    <w:p>
      <w:r>
        <w:t xml:space="preserve">(2) Eisenbahnen im Sinne des Allgemeinen Eisenbahngesetzes sind zu Leistungen nach § 10 auch für die nicht der Verteidigung dienenden Zwecke des § 1 Abs. 1 des Bundesleistungsgesetzes verpflichtet.</w:t>
      </w:r>
    </w:p>
    <w:p>
      <w:r>
        <w:rPr>
          <w:color w:val="555555"/>
          <w:sz w:val="17"/>
        </w:rPr>
        <w:t xml:space="preserve">Zitiervorschlag: § 9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