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VerkSiG — Geltungsdauer der Rechtsverordnungen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Befristete Rechtsverordnungen nach den §§ 1, 3, 4 und 5 Abs. 2, die bei Eintritt der Voraussetzung des § 2 Abs. 3 in Kraft sind, gelten unbefristet weiter.</w:t>
      </w:r>
    </w:p>
    <w:p>
      <w:r>
        <w:t xml:space="preserve">(2) Rechtsverordnungen auf Grund dieses Gesetzes sind aufzuheben, soweit ihre Fortgeltung für die in § 1 genannten Zwecke nicht mehr erforderlich ist. Rechtsverordnungen der Bundesregierung oder des Bundesministeriums für Verkehr und digitale Infrastruktur sind ferner aufzuheben, wenn der Bundestag und der Bundesrat dies verlangen.</w:t>
      </w:r>
    </w:p>
    <w:p>
      <w:r>
        <w:t xml:space="preserve">(3) Rechtsverordnungen der Landesregierungen oder der von diesen ermächtigten Stellen sowie von nachgeordneten Bundesbehörden, die auf Grund einer Rechtsverordnung nach § 5 Abs. 2 erlassen werden, treten spätestens mit dieser Rechtsverordnung außer Kraft.</w:t>
      </w:r>
    </w:p>
    <w:p>
      <w:r>
        <w:rPr>
          <w:color w:val="555555"/>
          <w:sz w:val="17"/>
        </w:rPr>
        <w:t xml:space="preserve">Zitiervorschlag: § 7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